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BAFF9">
      <w:pPr>
        <w:pStyle w:val="12"/>
        <w:rPr>
          <w:rFonts w:hint="eastAsia" w:asciiTheme="minorEastAsia" w:hAnsiTheme="minorEastAsia" w:eastAsiaTheme="minorEastAsia"/>
          <w:b/>
          <w:sz w:val="40"/>
          <w:szCs w:val="36"/>
        </w:rPr>
      </w:pPr>
    </w:p>
    <w:p w14:paraId="17105606">
      <w:pPr>
        <w:pStyle w:val="12"/>
        <w:rPr>
          <w:rFonts w:hint="eastAsia" w:asciiTheme="minorEastAsia" w:hAnsiTheme="minorEastAsia" w:eastAsiaTheme="minorEastAsia"/>
          <w:b/>
          <w:sz w:val="40"/>
          <w:szCs w:val="36"/>
        </w:rPr>
      </w:pPr>
    </w:p>
    <w:p w14:paraId="75EB19EB">
      <w:pPr>
        <w:pStyle w:val="12"/>
        <w:rPr>
          <w:rFonts w:hint="eastAsia" w:asciiTheme="minorEastAsia" w:hAnsiTheme="minorEastAsia" w:eastAsiaTheme="minorEastAsia"/>
          <w:b/>
          <w:sz w:val="40"/>
          <w:szCs w:val="36"/>
        </w:rPr>
      </w:pPr>
    </w:p>
    <w:p w14:paraId="6779B8DE">
      <w:pPr>
        <w:pStyle w:val="12"/>
        <w:rPr>
          <w:rFonts w:hint="eastAsia" w:asciiTheme="minorEastAsia" w:hAnsiTheme="minorEastAsia" w:eastAsiaTheme="minorEastAsia"/>
          <w:b/>
          <w:sz w:val="40"/>
          <w:szCs w:val="36"/>
        </w:rPr>
      </w:pPr>
    </w:p>
    <w:p w14:paraId="5EEEFA38">
      <w:pPr>
        <w:pStyle w:val="12"/>
        <w:rPr>
          <w:rFonts w:hint="eastAsia" w:asciiTheme="minorEastAsia" w:hAnsiTheme="minorEastAsia" w:eastAsiaTheme="minorEastAsia"/>
          <w:b/>
          <w:sz w:val="40"/>
          <w:szCs w:val="36"/>
        </w:rPr>
      </w:pPr>
    </w:p>
    <w:p w14:paraId="633D4B57">
      <w:pPr>
        <w:pStyle w:val="12"/>
        <w:rPr>
          <w:rFonts w:hint="eastAsia" w:asciiTheme="minorEastAsia" w:hAnsiTheme="minorEastAsia" w:eastAsiaTheme="minorEastAsia"/>
          <w:b/>
          <w:sz w:val="40"/>
          <w:szCs w:val="36"/>
        </w:rPr>
      </w:pPr>
    </w:p>
    <w:p w14:paraId="35CDCC22">
      <w:pPr>
        <w:pStyle w:val="12"/>
        <w:spacing w:line="360" w:lineRule="auto"/>
        <w:rPr>
          <w:rFonts w:hint="eastAsia" w:asciiTheme="minorEastAsia" w:hAnsiTheme="minorEastAsia" w:eastAsiaTheme="minorEastAsia"/>
          <w:b/>
          <w:sz w:val="40"/>
          <w:szCs w:val="36"/>
        </w:rPr>
      </w:pPr>
    </w:p>
    <w:p w14:paraId="660FE173">
      <w:pPr>
        <w:pStyle w:val="12"/>
        <w:spacing w:line="360" w:lineRule="auto"/>
        <w:jc w:val="center"/>
        <w:rPr>
          <w:rFonts w:hint="eastAsia" w:asciiTheme="minorEastAsia" w:hAnsiTheme="minorEastAsia" w:eastAsiaTheme="minorEastAsia"/>
          <w:b/>
          <w:sz w:val="40"/>
          <w:szCs w:val="36"/>
          <w:lang w:val="en-US" w:eastAsia="zh-CN"/>
        </w:rPr>
      </w:pPr>
      <w:r>
        <w:rPr>
          <w:rFonts w:hint="eastAsia" w:asciiTheme="minorEastAsia" w:hAnsiTheme="minorEastAsia" w:eastAsiaTheme="minorEastAsia"/>
          <w:b/>
          <w:sz w:val="40"/>
          <w:szCs w:val="36"/>
          <w:lang w:val="en-US" w:eastAsia="zh-CN"/>
        </w:rPr>
        <w:t>开封市汽车产投汽车零部件项目3号车间</w:t>
      </w:r>
    </w:p>
    <w:p w14:paraId="227AB601">
      <w:pPr>
        <w:pStyle w:val="12"/>
        <w:spacing w:line="360" w:lineRule="auto"/>
        <w:jc w:val="center"/>
        <w:rPr>
          <w:rFonts w:hint="default" w:asciiTheme="minorEastAsia" w:hAnsiTheme="minorEastAsia" w:eastAsiaTheme="minorEastAsia"/>
          <w:b/>
          <w:sz w:val="40"/>
          <w:szCs w:val="36"/>
          <w:lang w:val="en-US" w:eastAsia="zh-CN"/>
        </w:rPr>
      </w:pPr>
      <w:r>
        <w:rPr>
          <w:rFonts w:hint="eastAsia" w:asciiTheme="minorEastAsia" w:hAnsiTheme="minorEastAsia" w:eastAsiaTheme="minorEastAsia"/>
          <w:b/>
          <w:sz w:val="40"/>
          <w:szCs w:val="36"/>
          <w:lang w:val="en-US" w:eastAsia="zh-CN"/>
        </w:rPr>
        <w:t>装饰装修铺贴劳务分包工程</w:t>
      </w:r>
    </w:p>
    <w:p w14:paraId="521198AE">
      <w:pPr>
        <w:pStyle w:val="12"/>
        <w:rPr>
          <w:rFonts w:hint="eastAsia" w:asciiTheme="minorEastAsia" w:hAnsiTheme="minorEastAsia" w:eastAsiaTheme="minorEastAsia"/>
          <w:b/>
          <w:sz w:val="40"/>
          <w:szCs w:val="36"/>
        </w:rPr>
      </w:pPr>
    </w:p>
    <w:p w14:paraId="46403B32">
      <w:pPr>
        <w:pStyle w:val="12"/>
        <w:rPr>
          <w:rFonts w:hint="eastAsia" w:asciiTheme="minorEastAsia" w:hAnsiTheme="minorEastAsia" w:eastAsiaTheme="minorEastAsia"/>
          <w:b/>
          <w:sz w:val="40"/>
          <w:szCs w:val="36"/>
        </w:rPr>
      </w:pPr>
    </w:p>
    <w:p w14:paraId="1DCA30AE">
      <w:pPr>
        <w:pStyle w:val="12"/>
        <w:rPr>
          <w:rFonts w:hint="eastAsia" w:asciiTheme="minorEastAsia" w:hAnsiTheme="minorEastAsia" w:eastAsiaTheme="minorEastAsia"/>
          <w:b/>
          <w:sz w:val="40"/>
          <w:szCs w:val="36"/>
        </w:rPr>
      </w:pPr>
    </w:p>
    <w:p w14:paraId="6CFC3441">
      <w:pPr>
        <w:pStyle w:val="12"/>
      </w:pPr>
    </w:p>
    <w:p w14:paraId="51C2F856">
      <w:pPr>
        <w:spacing w:line="360" w:lineRule="auto"/>
        <w:jc w:val="center"/>
        <w:rPr>
          <w:rFonts w:hint="eastAsia" w:ascii="华文中宋" w:hAnsi="华文中宋" w:eastAsia="华文中宋" w:cs="华文中宋"/>
          <w:b/>
          <w:spacing w:val="-20"/>
          <w:sz w:val="52"/>
          <w:szCs w:val="52"/>
        </w:rPr>
      </w:pPr>
      <w:r>
        <w:rPr>
          <w:rFonts w:hint="eastAsia" w:ascii="华文中宋" w:hAnsi="华文中宋" w:eastAsia="华文中宋" w:cs="华文中宋"/>
          <w:b/>
          <w:spacing w:val="-20"/>
          <w:sz w:val="52"/>
          <w:szCs w:val="52"/>
        </w:rPr>
        <w:t>招</w:t>
      </w:r>
      <w:r>
        <w:rPr>
          <w:rFonts w:hint="eastAsia" w:ascii="华文中宋" w:hAnsi="华文中宋" w:eastAsia="华文中宋" w:cs="华文中宋"/>
          <w:b/>
          <w:spacing w:val="-20"/>
          <w:sz w:val="52"/>
          <w:szCs w:val="52"/>
          <w:lang w:val="en-US" w:eastAsia="zh-CN"/>
        </w:rPr>
        <w:t xml:space="preserve"> </w:t>
      </w:r>
      <w:r>
        <w:rPr>
          <w:rFonts w:hint="eastAsia" w:ascii="华文中宋" w:hAnsi="华文中宋" w:eastAsia="华文中宋" w:cs="华文中宋"/>
          <w:b/>
          <w:spacing w:val="-20"/>
          <w:sz w:val="52"/>
          <w:szCs w:val="52"/>
        </w:rPr>
        <w:t>标</w:t>
      </w:r>
      <w:r>
        <w:rPr>
          <w:rFonts w:hint="eastAsia" w:ascii="华文中宋" w:hAnsi="华文中宋" w:eastAsia="华文中宋" w:cs="华文中宋"/>
          <w:b/>
          <w:spacing w:val="-20"/>
          <w:sz w:val="52"/>
          <w:szCs w:val="52"/>
          <w:lang w:val="en-US" w:eastAsia="zh-CN"/>
        </w:rPr>
        <w:t xml:space="preserve"> </w:t>
      </w:r>
      <w:r>
        <w:rPr>
          <w:rFonts w:hint="eastAsia" w:ascii="华文中宋" w:hAnsi="华文中宋" w:eastAsia="华文中宋" w:cs="华文中宋"/>
          <w:b/>
          <w:spacing w:val="-20"/>
          <w:sz w:val="52"/>
          <w:szCs w:val="52"/>
        </w:rPr>
        <w:t>文</w:t>
      </w:r>
      <w:r>
        <w:rPr>
          <w:rFonts w:hint="eastAsia" w:ascii="华文中宋" w:hAnsi="华文中宋" w:eastAsia="华文中宋" w:cs="华文中宋"/>
          <w:b/>
          <w:spacing w:val="-20"/>
          <w:sz w:val="52"/>
          <w:szCs w:val="52"/>
          <w:lang w:val="en-US" w:eastAsia="zh-CN"/>
        </w:rPr>
        <w:t xml:space="preserve"> </w:t>
      </w:r>
      <w:r>
        <w:rPr>
          <w:rFonts w:hint="eastAsia" w:ascii="华文中宋" w:hAnsi="华文中宋" w:eastAsia="华文中宋" w:cs="华文中宋"/>
          <w:b/>
          <w:spacing w:val="-20"/>
          <w:sz w:val="52"/>
          <w:szCs w:val="52"/>
        </w:rPr>
        <w:t>件</w:t>
      </w:r>
    </w:p>
    <w:p w14:paraId="213E5CF4">
      <w:pPr>
        <w:pStyle w:val="12"/>
        <w:ind w:left="0" w:leftChars="0" w:firstLine="0" w:firstLineChars="0"/>
      </w:pPr>
    </w:p>
    <w:p w14:paraId="7D94FD8B">
      <w:pPr>
        <w:spacing w:line="360" w:lineRule="auto"/>
        <w:jc w:val="center"/>
        <w:rPr>
          <w:rFonts w:asciiTheme="minorEastAsia" w:hAnsiTheme="minorEastAsia" w:eastAsiaTheme="minorEastAsia"/>
          <w:szCs w:val="20"/>
        </w:rPr>
      </w:pPr>
    </w:p>
    <w:p w14:paraId="24EE2EDF">
      <w:pPr>
        <w:spacing w:line="360" w:lineRule="auto"/>
        <w:jc w:val="center"/>
        <w:rPr>
          <w:rFonts w:asciiTheme="minorEastAsia" w:hAnsiTheme="minorEastAsia" w:eastAsiaTheme="minorEastAsia"/>
          <w:sz w:val="52"/>
        </w:rPr>
      </w:pPr>
    </w:p>
    <w:p w14:paraId="77DC62ED">
      <w:pPr>
        <w:pStyle w:val="12"/>
        <w:rPr>
          <w:rFonts w:asciiTheme="minorEastAsia" w:hAnsiTheme="minorEastAsia" w:eastAsiaTheme="minorEastAsia"/>
          <w:sz w:val="52"/>
        </w:rPr>
      </w:pPr>
    </w:p>
    <w:p w14:paraId="6EAB139A">
      <w:pPr>
        <w:pStyle w:val="12"/>
        <w:rPr>
          <w:rFonts w:asciiTheme="minorEastAsia" w:hAnsiTheme="minorEastAsia" w:eastAsiaTheme="minorEastAsia"/>
          <w:sz w:val="52"/>
        </w:rPr>
      </w:pPr>
    </w:p>
    <w:p w14:paraId="697820A5">
      <w:pPr>
        <w:pStyle w:val="12"/>
        <w:rPr>
          <w:rFonts w:asciiTheme="minorEastAsia" w:hAnsiTheme="minorEastAsia" w:eastAsiaTheme="minorEastAsia"/>
          <w:sz w:val="52"/>
        </w:rPr>
      </w:pPr>
    </w:p>
    <w:p w14:paraId="3161DFC0">
      <w:pPr>
        <w:pStyle w:val="12"/>
        <w:rPr>
          <w:rFonts w:asciiTheme="minorEastAsia" w:hAnsiTheme="minorEastAsia" w:eastAsiaTheme="minorEastAsia"/>
          <w:sz w:val="52"/>
        </w:rPr>
      </w:pPr>
    </w:p>
    <w:p w14:paraId="4C241755">
      <w:pPr>
        <w:pStyle w:val="12"/>
        <w:rPr>
          <w:rFonts w:asciiTheme="minorEastAsia" w:hAnsiTheme="minorEastAsia" w:eastAsiaTheme="minorEastAsia"/>
          <w:sz w:val="52"/>
        </w:rPr>
      </w:pPr>
    </w:p>
    <w:p w14:paraId="7D670113">
      <w:pPr>
        <w:jc w:val="center"/>
        <w:rPr>
          <w:rFonts w:hint="default"/>
          <w:sz w:val="28"/>
          <w:szCs w:val="36"/>
          <w:lang w:val="en-US" w:eastAsia="zh-CN"/>
        </w:rPr>
      </w:pPr>
      <w:r>
        <w:rPr>
          <w:rFonts w:hint="eastAsia"/>
          <w:sz w:val="28"/>
          <w:szCs w:val="36"/>
          <w:lang w:val="en-US" w:eastAsia="zh-CN"/>
        </w:rPr>
        <w:t>安徽胜鑫唐数能科技有限公司</w:t>
      </w:r>
    </w:p>
    <w:p w14:paraId="3B247B42">
      <w:pPr>
        <w:jc w:val="center"/>
        <w:rPr>
          <w:rFonts w:hint="default"/>
          <w:sz w:val="28"/>
          <w:szCs w:val="36"/>
          <w:lang w:val="en-US" w:eastAsia="zh-CN"/>
        </w:rPr>
      </w:pPr>
      <w:r>
        <w:rPr>
          <w:rFonts w:hint="eastAsia"/>
          <w:sz w:val="28"/>
          <w:szCs w:val="36"/>
          <w:lang w:val="en-US" w:eastAsia="zh-CN"/>
        </w:rPr>
        <w:t>2026年7月</w:t>
      </w:r>
    </w:p>
    <w:p w14:paraId="416F9A9C">
      <w:pPr>
        <w:pStyle w:val="12"/>
        <w:rPr>
          <w:rFonts w:asciiTheme="minorEastAsia" w:hAnsiTheme="minorEastAsia" w:eastAsiaTheme="minorEastAsia"/>
          <w:sz w:val="52"/>
        </w:rPr>
      </w:pPr>
    </w:p>
    <w:p w14:paraId="2B840F83">
      <w:pPr>
        <w:pStyle w:val="13"/>
        <w:numPr>
          <w:ilvl w:val="0"/>
          <w:numId w:val="1"/>
        </w:numPr>
        <w:spacing w:line="360" w:lineRule="auto"/>
        <w:ind w:firstLineChars="0"/>
        <w:jc w:val="center"/>
        <w:rPr>
          <w:rFonts w:asciiTheme="minorEastAsia" w:hAnsiTheme="minorEastAsia" w:eastAsiaTheme="minorEastAsia"/>
          <w:sz w:val="32"/>
          <w:szCs w:val="28"/>
        </w:rPr>
        <w:sectPr>
          <w:headerReference r:id="rId3" w:type="default"/>
          <w:footerReference r:id="rId4" w:type="default"/>
          <w:pgSz w:w="11906" w:h="16838"/>
          <w:pgMar w:top="1440" w:right="1080" w:bottom="1440" w:left="1080" w:header="851" w:footer="992" w:gutter="0"/>
          <w:pgNumType w:fmt="decimal" w:start="1"/>
          <w:cols w:space="720" w:num="1"/>
          <w:docGrid w:type="lines" w:linePitch="312" w:charSpace="0"/>
        </w:sectPr>
      </w:pPr>
    </w:p>
    <w:p w14:paraId="32B7785F">
      <w:pPr>
        <w:pStyle w:val="13"/>
        <w:numPr>
          <w:ilvl w:val="0"/>
          <w:numId w:val="1"/>
        </w:numPr>
        <w:spacing w:line="360" w:lineRule="auto"/>
        <w:ind w:firstLineChars="0"/>
        <w:jc w:val="center"/>
        <w:rPr>
          <w:rFonts w:asciiTheme="minorEastAsia" w:hAnsiTheme="minorEastAsia" w:eastAsiaTheme="minorEastAsia"/>
          <w:sz w:val="32"/>
          <w:szCs w:val="28"/>
        </w:rPr>
      </w:pPr>
      <w:r>
        <w:rPr>
          <w:rFonts w:hint="eastAsia" w:asciiTheme="minorEastAsia" w:hAnsiTheme="minorEastAsia" w:eastAsiaTheme="minorEastAsia"/>
          <w:sz w:val="32"/>
          <w:szCs w:val="28"/>
        </w:rPr>
        <w:t>投标须知</w:t>
      </w:r>
    </w:p>
    <w:tbl>
      <w:tblPr>
        <w:tblStyle w:val="10"/>
        <w:tblW w:w="9330" w:type="dxa"/>
        <w:tblInd w:w="527" w:type="dxa"/>
        <w:tblLayout w:type="fixed"/>
        <w:tblCellMar>
          <w:top w:w="0" w:type="dxa"/>
          <w:left w:w="108" w:type="dxa"/>
          <w:bottom w:w="0" w:type="dxa"/>
          <w:right w:w="108" w:type="dxa"/>
        </w:tblCellMar>
      </w:tblPr>
      <w:tblGrid>
        <w:gridCol w:w="930"/>
        <w:gridCol w:w="1950"/>
        <w:gridCol w:w="6450"/>
      </w:tblGrid>
      <w:tr w14:paraId="570473A4">
        <w:tblPrEx>
          <w:tblCellMar>
            <w:top w:w="0" w:type="dxa"/>
            <w:left w:w="108" w:type="dxa"/>
            <w:bottom w:w="0" w:type="dxa"/>
            <w:right w:w="108" w:type="dxa"/>
          </w:tblCellMar>
        </w:tblPrEx>
        <w:trPr>
          <w:trHeight w:val="452" w:hRule="atLeast"/>
        </w:trPr>
        <w:tc>
          <w:tcPr>
            <w:tcW w:w="930" w:type="dxa"/>
            <w:tcBorders>
              <w:top w:val="single" w:color="auto" w:sz="4" w:space="0"/>
              <w:left w:val="single" w:color="auto" w:sz="4" w:space="0"/>
              <w:bottom w:val="single" w:color="auto" w:sz="4" w:space="0"/>
              <w:right w:val="single" w:color="auto" w:sz="4" w:space="0"/>
            </w:tcBorders>
            <w:vAlign w:val="center"/>
          </w:tcPr>
          <w:p w14:paraId="4280CD0A">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序号</w:t>
            </w:r>
          </w:p>
        </w:tc>
        <w:tc>
          <w:tcPr>
            <w:tcW w:w="1950" w:type="dxa"/>
            <w:tcBorders>
              <w:top w:val="single" w:color="auto" w:sz="4" w:space="0"/>
              <w:left w:val="single" w:color="auto" w:sz="4" w:space="0"/>
              <w:bottom w:val="single" w:color="auto" w:sz="4" w:space="0"/>
              <w:right w:val="single" w:color="auto" w:sz="4" w:space="0"/>
            </w:tcBorders>
            <w:vAlign w:val="center"/>
          </w:tcPr>
          <w:p w14:paraId="3F6ACE4F">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条款名称</w:t>
            </w:r>
          </w:p>
        </w:tc>
        <w:tc>
          <w:tcPr>
            <w:tcW w:w="6450" w:type="dxa"/>
            <w:tcBorders>
              <w:top w:val="single" w:color="auto" w:sz="4" w:space="0"/>
              <w:left w:val="single" w:color="auto" w:sz="4" w:space="0"/>
              <w:bottom w:val="single" w:color="auto" w:sz="4" w:space="0"/>
              <w:right w:val="single" w:color="auto" w:sz="4" w:space="0"/>
            </w:tcBorders>
            <w:vAlign w:val="center"/>
          </w:tcPr>
          <w:p w14:paraId="7A366FE1">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编列内容</w:t>
            </w:r>
          </w:p>
        </w:tc>
      </w:tr>
      <w:tr w14:paraId="61B8A95F">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5B8332CA">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3778416E">
            <w:pPr>
              <w:rPr>
                <w:rFonts w:hint="eastAsia" w:ascii="Times New Roman" w:hAnsi="Times New Roman" w:eastAsia="仿宋" w:cs="Times New Roman"/>
                <w:b w:val="0"/>
                <w:bCs w:val="0"/>
                <w:color w:val="000000"/>
                <w:szCs w:val="21"/>
                <w:lang w:val="en-US" w:eastAsia="zh-CN"/>
              </w:rPr>
            </w:pPr>
            <w:r>
              <w:rPr>
                <w:rFonts w:hint="default" w:ascii="Times New Roman" w:hAnsi="Times New Roman" w:eastAsia="仿宋" w:cs="Times New Roman"/>
                <w:b w:val="0"/>
                <w:bCs w:val="0"/>
                <w:color w:val="000000"/>
                <w:szCs w:val="21"/>
              </w:rPr>
              <w:t>招标</w:t>
            </w:r>
            <w:r>
              <w:rPr>
                <w:rFonts w:hint="eastAsia" w:ascii="Times New Roman" w:hAnsi="Times New Roman" w:eastAsia="仿宋" w:cs="Times New Roman"/>
                <w:b w:val="0"/>
                <w:bCs w:val="0"/>
                <w:color w:val="000000"/>
                <w:szCs w:val="21"/>
                <w:lang w:val="en-US" w:eastAsia="zh-CN"/>
              </w:rPr>
              <w:t>人</w:t>
            </w:r>
          </w:p>
        </w:tc>
        <w:tc>
          <w:tcPr>
            <w:tcW w:w="6450" w:type="dxa"/>
            <w:tcBorders>
              <w:top w:val="single" w:color="auto" w:sz="4" w:space="0"/>
              <w:left w:val="single" w:color="auto" w:sz="4" w:space="0"/>
              <w:bottom w:val="single" w:color="auto" w:sz="4" w:space="0"/>
              <w:right w:val="single" w:color="auto" w:sz="4" w:space="0"/>
            </w:tcBorders>
            <w:vAlign w:val="center"/>
          </w:tcPr>
          <w:p w14:paraId="260D624C">
            <w:pPr>
              <w:jc w:val="left"/>
              <w:rPr>
                <w:rFonts w:hint="default" w:ascii="Times New Roman" w:hAnsi="Times New Roman" w:eastAsia="仿宋" w:cs="Times New Roman"/>
                <w:b w:val="0"/>
                <w:bCs w:val="0"/>
                <w:color w:val="000000"/>
                <w:szCs w:val="21"/>
                <w:lang w:val="en-US" w:eastAsia="zh-CN"/>
              </w:rPr>
            </w:pPr>
            <w:r>
              <w:rPr>
                <w:rFonts w:hint="default" w:ascii="Times New Roman" w:hAnsi="Times New Roman" w:eastAsia="仿宋" w:cs="Times New Roman"/>
                <w:b w:val="0"/>
                <w:bCs w:val="0"/>
                <w:color w:val="000000"/>
                <w:szCs w:val="21"/>
                <w:lang w:val="en-US" w:eastAsia="zh-CN"/>
              </w:rPr>
              <w:t>安徽胜鑫唐数能科技有限公司</w:t>
            </w:r>
          </w:p>
        </w:tc>
      </w:tr>
      <w:tr w14:paraId="33DD6D2D">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12E15D49">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0E889EF3">
            <w:pP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项目名称</w:t>
            </w:r>
          </w:p>
        </w:tc>
        <w:tc>
          <w:tcPr>
            <w:tcW w:w="6450" w:type="dxa"/>
            <w:tcBorders>
              <w:top w:val="single" w:color="auto" w:sz="4" w:space="0"/>
              <w:left w:val="single" w:color="auto" w:sz="4" w:space="0"/>
              <w:bottom w:val="single" w:color="auto" w:sz="4" w:space="0"/>
              <w:right w:val="single" w:color="auto" w:sz="4" w:space="0"/>
            </w:tcBorders>
            <w:vAlign w:val="center"/>
          </w:tcPr>
          <w:p w14:paraId="1F662634">
            <w:pPr>
              <w:jc w:val="left"/>
              <w:rPr>
                <w:rFonts w:hint="default" w:ascii="Times New Roman" w:hAnsi="Times New Roman" w:eastAsia="仿宋" w:cs="Times New Roman"/>
                <w:color w:val="000000"/>
                <w:szCs w:val="21"/>
                <w:lang w:val="en-US" w:eastAsia="zh-CN"/>
              </w:rPr>
            </w:pPr>
            <w:r>
              <w:rPr>
                <w:rFonts w:hint="eastAsia" w:eastAsia="仿宋" w:cs="Times New Roman"/>
                <w:b w:val="0"/>
                <w:bCs w:val="0"/>
                <w:color w:val="000000"/>
                <w:szCs w:val="21"/>
                <w:lang w:eastAsia="zh-CN"/>
              </w:rPr>
              <w:t>开封市汽车产投汽车零部件项目</w:t>
            </w:r>
            <w:r>
              <w:rPr>
                <w:rFonts w:hint="eastAsia" w:eastAsia="仿宋" w:cs="Times New Roman"/>
                <w:b w:val="0"/>
                <w:bCs w:val="0"/>
                <w:color w:val="000000"/>
                <w:szCs w:val="21"/>
                <w:lang w:val="en-US" w:eastAsia="zh-CN"/>
              </w:rPr>
              <w:t>3号车间装饰装修</w:t>
            </w:r>
            <w:bookmarkStart w:id="0" w:name="_GoBack"/>
            <w:r>
              <w:rPr>
                <w:rFonts w:hint="eastAsia" w:eastAsia="仿宋" w:cs="Times New Roman"/>
                <w:b w:val="0"/>
                <w:bCs w:val="0"/>
                <w:color w:val="000000"/>
                <w:szCs w:val="21"/>
                <w:lang w:val="en-US" w:eastAsia="zh-CN"/>
              </w:rPr>
              <w:t>铺贴</w:t>
            </w:r>
            <w:bookmarkEnd w:id="0"/>
            <w:r>
              <w:rPr>
                <w:rFonts w:hint="eastAsia" w:eastAsia="仿宋" w:cs="Times New Roman"/>
                <w:b w:val="0"/>
                <w:bCs w:val="0"/>
                <w:color w:val="000000"/>
                <w:szCs w:val="21"/>
                <w:lang w:val="en-US" w:eastAsia="zh-CN"/>
              </w:rPr>
              <w:t>劳务分包工程</w:t>
            </w:r>
          </w:p>
        </w:tc>
      </w:tr>
      <w:tr w14:paraId="3B7F8912">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70C4C024">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72E3A53E">
            <w:pPr>
              <w:rPr>
                <w:rFonts w:hint="eastAsia" w:ascii="Times New Roman" w:hAnsi="Times New Roman" w:eastAsia="仿宋" w:cs="Times New Roman"/>
                <w:color w:val="000000"/>
                <w:szCs w:val="21"/>
                <w:lang w:val="en-US" w:eastAsia="zh-CN"/>
              </w:rPr>
            </w:pPr>
            <w:r>
              <w:rPr>
                <w:rFonts w:hint="eastAsia" w:ascii="Times New Roman" w:hAnsi="Times New Roman" w:eastAsia="仿宋" w:cs="Times New Roman"/>
                <w:color w:val="000000"/>
                <w:szCs w:val="21"/>
                <w:lang w:val="en-US" w:eastAsia="zh-CN"/>
              </w:rPr>
              <w:t>建设地点</w:t>
            </w:r>
          </w:p>
        </w:tc>
        <w:tc>
          <w:tcPr>
            <w:tcW w:w="6450" w:type="dxa"/>
            <w:tcBorders>
              <w:top w:val="single" w:color="auto" w:sz="4" w:space="0"/>
              <w:left w:val="single" w:color="auto" w:sz="4" w:space="0"/>
              <w:bottom w:val="single" w:color="auto" w:sz="4" w:space="0"/>
              <w:right w:val="single" w:color="auto" w:sz="4" w:space="0"/>
            </w:tcBorders>
            <w:vAlign w:val="center"/>
          </w:tcPr>
          <w:p w14:paraId="210C8673">
            <w:pPr>
              <w:rPr>
                <w:rFonts w:hint="eastAsia"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河南省开封市</w:t>
            </w:r>
          </w:p>
        </w:tc>
      </w:tr>
      <w:tr w14:paraId="7C94F309">
        <w:tblPrEx>
          <w:tblCellMar>
            <w:top w:w="0" w:type="dxa"/>
            <w:left w:w="108" w:type="dxa"/>
            <w:bottom w:w="0" w:type="dxa"/>
            <w:right w:w="108" w:type="dxa"/>
          </w:tblCellMar>
        </w:tblPrEx>
        <w:trPr>
          <w:trHeight w:val="826" w:hRule="atLeast"/>
        </w:trPr>
        <w:tc>
          <w:tcPr>
            <w:tcW w:w="930" w:type="dxa"/>
            <w:tcBorders>
              <w:top w:val="single" w:color="auto" w:sz="4" w:space="0"/>
              <w:left w:val="single" w:color="auto" w:sz="4" w:space="0"/>
              <w:bottom w:val="single" w:color="auto" w:sz="4" w:space="0"/>
              <w:right w:val="single" w:color="auto" w:sz="4" w:space="0"/>
            </w:tcBorders>
            <w:vAlign w:val="center"/>
          </w:tcPr>
          <w:p w14:paraId="761E97BD">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2EC93DB3">
            <w:pP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项目概况</w:t>
            </w:r>
          </w:p>
        </w:tc>
        <w:tc>
          <w:tcPr>
            <w:tcW w:w="6450" w:type="dxa"/>
            <w:tcBorders>
              <w:top w:val="single" w:color="auto" w:sz="4" w:space="0"/>
              <w:left w:val="single" w:color="auto" w:sz="4" w:space="0"/>
              <w:bottom w:val="single" w:color="auto" w:sz="4" w:space="0"/>
              <w:right w:val="single" w:color="auto" w:sz="4" w:space="0"/>
            </w:tcBorders>
            <w:vAlign w:val="center"/>
          </w:tcPr>
          <w:p w14:paraId="334BD6A5">
            <w:pPr>
              <w:rPr>
                <w:rFonts w:hint="default" w:ascii="Times New Roman" w:hAnsi="Times New Roman" w:eastAsia="仿宋" w:cs="Times New Roman"/>
                <w:lang w:val="en-US" w:eastAsia="zh-CN"/>
              </w:rPr>
            </w:pPr>
            <w:r>
              <w:rPr>
                <w:rFonts w:hint="eastAsia" w:eastAsia="仿宋" w:cs="Times New Roman"/>
                <w:b w:val="0"/>
                <w:bCs w:val="0"/>
                <w:color w:val="000000"/>
                <w:szCs w:val="21"/>
                <w:lang w:val="en-US" w:eastAsia="zh-CN"/>
              </w:rPr>
              <w:t>开封市汽车产投汽车零部件项目3号车间装饰装修铺贴劳务分包工程。</w:t>
            </w:r>
          </w:p>
        </w:tc>
      </w:tr>
      <w:tr w14:paraId="69702B85">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0409B9F0">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2EE81604">
            <w:pPr>
              <w:rPr>
                <w:rFonts w:hint="eastAsia" w:eastAsia="仿宋" w:cs="Times New Roman"/>
                <w:lang w:val="en-US" w:eastAsia="zh-CN"/>
              </w:rPr>
            </w:pPr>
            <w:r>
              <w:rPr>
                <w:rFonts w:hint="eastAsia" w:ascii="Times New Roman" w:hAnsi="Times New Roman" w:eastAsia="仿宋" w:cs="Times New Roman"/>
                <w:color w:val="000000"/>
                <w:szCs w:val="21"/>
                <w:lang w:val="en-US" w:eastAsia="zh-CN"/>
              </w:rPr>
              <w:t>专业名称</w:t>
            </w:r>
          </w:p>
        </w:tc>
        <w:tc>
          <w:tcPr>
            <w:tcW w:w="6450" w:type="dxa"/>
            <w:tcBorders>
              <w:top w:val="single" w:color="auto" w:sz="4" w:space="0"/>
              <w:left w:val="single" w:color="auto" w:sz="4" w:space="0"/>
              <w:bottom w:val="single" w:color="auto" w:sz="4" w:space="0"/>
              <w:right w:val="single" w:color="auto" w:sz="4" w:space="0"/>
            </w:tcBorders>
            <w:vAlign w:val="center"/>
          </w:tcPr>
          <w:p w14:paraId="733DBF01">
            <w:pPr>
              <w:rPr>
                <w:rFonts w:hint="default" w:ascii="Times New Roman" w:hAnsi="Times New Roman" w:eastAsia="仿宋" w:cs="Times New Roman"/>
                <w:color w:val="000000"/>
                <w:szCs w:val="21"/>
                <w:lang w:val="en-US" w:eastAsia="zh-CN"/>
              </w:rPr>
            </w:pPr>
            <w:r>
              <w:rPr>
                <w:rFonts w:hint="eastAsia" w:eastAsia="仿宋" w:cs="Times New Roman"/>
                <w:b w:val="0"/>
                <w:bCs w:val="0"/>
                <w:color w:val="000000"/>
                <w:szCs w:val="21"/>
                <w:lang w:val="en-US" w:eastAsia="zh-CN"/>
              </w:rPr>
              <w:t>装饰装修铺贴</w:t>
            </w:r>
            <w:r>
              <w:rPr>
                <w:rFonts w:hint="eastAsia" w:eastAsia="仿宋" w:cs="Times New Roman"/>
                <w:color w:val="000000"/>
                <w:szCs w:val="21"/>
                <w:lang w:val="en-US" w:eastAsia="zh-CN"/>
              </w:rPr>
              <w:t>劳务</w:t>
            </w:r>
          </w:p>
        </w:tc>
      </w:tr>
      <w:tr w14:paraId="4410C0F6">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6DF1145A">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504CDEF8">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标段数量</w:t>
            </w:r>
          </w:p>
        </w:tc>
        <w:tc>
          <w:tcPr>
            <w:tcW w:w="6450" w:type="dxa"/>
            <w:tcBorders>
              <w:top w:val="single" w:color="auto" w:sz="4" w:space="0"/>
              <w:left w:val="single" w:color="auto" w:sz="4" w:space="0"/>
              <w:bottom w:val="single" w:color="auto" w:sz="4" w:space="0"/>
              <w:right w:val="single" w:color="auto" w:sz="4" w:space="0"/>
            </w:tcBorders>
            <w:vAlign w:val="center"/>
          </w:tcPr>
          <w:p w14:paraId="737D99C7">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本分包工程划分为</w:t>
            </w:r>
            <w:r>
              <w:rPr>
                <w:rFonts w:hint="eastAsia" w:eastAsia="仿宋" w:cs="Times New Roman"/>
                <w:color w:val="000000"/>
                <w:szCs w:val="21"/>
                <w:u w:val="single"/>
                <w:lang w:val="en-US" w:eastAsia="zh-CN"/>
              </w:rPr>
              <w:t xml:space="preserve">   1  </w:t>
            </w:r>
            <w:r>
              <w:rPr>
                <w:rFonts w:hint="eastAsia" w:eastAsia="仿宋" w:cs="Times New Roman"/>
                <w:color w:val="000000"/>
                <w:szCs w:val="21"/>
                <w:lang w:val="en-US" w:eastAsia="zh-CN"/>
              </w:rPr>
              <w:t>个标段</w:t>
            </w:r>
          </w:p>
        </w:tc>
      </w:tr>
      <w:tr w14:paraId="00B24BBA">
        <w:tblPrEx>
          <w:tblCellMar>
            <w:top w:w="0" w:type="dxa"/>
            <w:left w:w="108" w:type="dxa"/>
            <w:bottom w:w="0" w:type="dxa"/>
            <w:right w:w="108" w:type="dxa"/>
          </w:tblCellMar>
        </w:tblPrEx>
        <w:trPr>
          <w:trHeight w:val="576" w:hRule="atLeast"/>
        </w:trPr>
        <w:tc>
          <w:tcPr>
            <w:tcW w:w="930" w:type="dxa"/>
            <w:tcBorders>
              <w:top w:val="single" w:color="auto" w:sz="4" w:space="0"/>
              <w:left w:val="single" w:color="auto" w:sz="4" w:space="0"/>
              <w:bottom w:val="single" w:color="auto" w:sz="4" w:space="0"/>
              <w:right w:val="single" w:color="auto" w:sz="4" w:space="0"/>
            </w:tcBorders>
            <w:vAlign w:val="center"/>
          </w:tcPr>
          <w:p w14:paraId="6A8D6644">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5814DBFA">
            <w:pPr>
              <w:rPr>
                <w:rFonts w:hint="eastAsia" w:ascii="Times New Roman" w:hAnsi="Times New Roman" w:eastAsia="仿宋" w:cs="Times New Roman"/>
                <w:lang w:val="en-US" w:eastAsia="zh-CN"/>
              </w:rPr>
            </w:pPr>
            <w:r>
              <w:rPr>
                <w:rFonts w:hint="eastAsia" w:eastAsia="仿宋" w:cs="Times New Roman"/>
                <w:lang w:val="en-US" w:eastAsia="zh-CN"/>
              </w:rPr>
              <w:t>踏勘</w:t>
            </w:r>
          </w:p>
        </w:tc>
        <w:tc>
          <w:tcPr>
            <w:tcW w:w="6450" w:type="dxa"/>
            <w:tcBorders>
              <w:top w:val="single" w:color="auto" w:sz="4" w:space="0"/>
              <w:left w:val="single" w:color="auto" w:sz="4" w:space="0"/>
              <w:bottom w:val="single" w:color="auto" w:sz="4" w:space="0"/>
              <w:right w:val="single" w:color="auto" w:sz="4" w:space="0"/>
            </w:tcBorders>
            <w:vAlign w:val="center"/>
          </w:tcPr>
          <w:p w14:paraId="4207FE3A">
            <w:pPr>
              <w:numPr>
                <w:ilvl w:val="0"/>
                <w:numId w:val="3"/>
              </w:numPr>
              <w:spacing w:line="240" w:lineRule="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招标人不组织现场勘察，投标人自行安排并承担费用及安全责任。</w:t>
            </w:r>
          </w:p>
          <w:p w14:paraId="3046CC8B">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0" w:firstLineChars="0"/>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无论投标人是否踏勘现场，招标人均认为投标人在投标报价时已经充分了解现场所有情况，招标人不为此承担任何责任。</w:t>
            </w:r>
          </w:p>
          <w:p w14:paraId="3D7F63D3">
            <w:pPr>
              <w:pStyle w:val="12"/>
              <w:spacing w:line="240" w:lineRule="auto"/>
              <w:rPr>
                <w:rFonts w:hint="eastAsia" w:eastAsia="宋体"/>
                <w:lang w:val="en-US" w:eastAsia="zh-CN"/>
              </w:rPr>
            </w:pPr>
            <w:r>
              <w:rPr>
                <w:rFonts w:hint="eastAsia" w:ascii="仿宋" w:hAnsi="仿宋" w:eastAsia="仿宋" w:cs="仿宋"/>
                <w:lang w:val="en-US" w:eastAsia="zh-CN"/>
              </w:rPr>
              <w:t>现场联系人</w:t>
            </w:r>
            <w:r>
              <w:rPr>
                <w:rFonts w:hint="eastAsia"/>
              </w:rPr>
              <w:t>：</w:t>
            </w:r>
            <w:r>
              <w:rPr>
                <w:rFonts w:hint="eastAsia" w:ascii="仿宋" w:hAnsi="仿宋" w:eastAsia="仿宋" w:cs="仿宋"/>
                <w:lang w:val="en-US" w:eastAsia="zh-CN"/>
              </w:rPr>
              <w:t>夏伟13696531017</w:t>
            </w:r>
          </w:p>
        </w:tc>
      </w:tr>
      <w:tr w14:paraId="1D4612F5">
        <w:tblPrEx>
          <w:tblCellMar>
            <w:top w:w="0" w:type="dxa"/>
            <w:left w:w="108" w:type="dxa"/>
            <w:bottom w:w="0" w:type="dxa"/>
            <w:right w:w="108" w:type="dxa"/>
          </w:tblCellMar>
        </w:tblPrEx>
        <w:trPr>
          <w:trHeight w:val="576" w:hRule="atLeast"/>
        </w:trPr>
        <w:tc>
          <w:tcPr>
            <w:tcW w:w="930" w:type="dxa"/>
            <w:tcBorders>
              <w:top w:val="single" w:color="auto" w:sz="4" w:space="0"/>
              <w:left w:val="single" w:color="auto" w:sz="4" w:space="0"/>
              <w:bottom w:val="single" w:color="auto" w:sz="4" w:space="0"/>
              <w:right w:val="single" w:color="auto" w:sz="4" w:space="0"/>
            </w:tcBorders>
            <w:vAlign w:val="center"/>
          </w:tcPr>
          <w:p w14:paraId="435BAA41">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49EE132C">
            <w:pP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投标保证金</w:t>
            </w:r>
          </w:p>
        </w:tc>
        <w:tc>
          <w:tcPr>
            <w:tcW w:w="6450" w:type="dxa"/>
            <w:tcBorders>
              <w:top w:val="single" w:color="auto" w:sz="4" w:space="0"/>
              <w:left w:val="single" w:color="auto" w:sz="4" w:space="0"/>
              <w:bottom w:val="single" w:color="auto" w:sz="4" w:space="0"/>
              <w:right w:val="single" w:color="auto" w:sz="4" w:space="0"/>
            </w:tcBorders>
            <w:vAlign w:val="center"/>
          </w:tcPr>
          <w:p w14:paraId="35A660CC">
            <w:pPr>
              <w:numPr>
                <w:ilvl w:val="0"/>
                <w:numId w:val="4"/>
              </w:numPr>
              <w:rPr>
                <w:rFonts w:hint="default" w:ascii="Times New Roman" w:hAnsi="Times New Roman" w:eastAsia="仿宋" w:cs="Times New Roman"/>
                <w:lang w:val="en-US" w:eastAsia="zh-CN"/>
              </w:rPr>
            </w:pPr>
            <w:r>
              <w:rPr>
                <w:rFonts w:hint="default" w:ascii="Times New Roman" w:hAnsi="Times New Roman" w:eastAsia="仿宋" w:cs="Times New Roman"/>
              </w:rPr>
              <w:t>投标人在标书提交前三日需要向招标人缴纳投标保证金</w:t>
            </w:r>
            <w:r>
              <w:rPr>
                <w:rFonts w:hint="eastAsia" w:eastAsia="仿宋" w:cs="Times New Roman"/>
                <w:u w:val="single"/>
                <w:lang w:val="en-US" w:eastAsia="zh-CN"/>
              </w:rPr>
              <w:t>1</w:t>
            </w:r>
            <w:r>
              <w:rPr>
                <w:rFonts w:hint="default" w:ascii="Times New Roman" w:hAnsi="Times New Roman" w:eastAsia="仿宋" w:cs="Times New Roman"/>
                <w:lang w:val="en-US" w:eastAsia="zh-CN"/>
              </w:rPr>
              <w:t>万元，并将汇款凭证扫描件装订于文件中。</w:t>
            </w:r>
          </w:p>
          <w:p w14:paraId="6EFD4CBC">
            <w:pPr>
              <w:numPr>
                <w:ilvl w:val="0"/>
                <w:numId w:val="4"/>
              </w:numPr>
              <w:spacing w:line="240" w:lineRule="auto"/>
              <w:ind w:left="0" w:leftChars="0" w:firstLine="0" w:firstLineChars="0"/>
              <w:rPr>
                <w:rFonts w:hint="default" w:ascii="Times New Roman" w:hAnsi="Times New Roman" w:eastAsia="仿宋" w:cs="Times New Roman"/>
                <w:lang w:eastAsia="zh-CN"/>
              </w:rPr>
            </w:pPr>
            <w:r>
              <w:rPr>
                <w:rFonts w:hint="eastAsia" w:ascii="Times New Roman" w:hAnsi="Times New Roman" w:eastAsia="仿宋" w:cs="Times New Roman"/>
                <w:lang w:val="en-US" w:eastAsia="zh-CN"/>
              </w:rPr>
              <w:t>投标保证金退还方式：</w:t>
            </w:r>
            <w:r>
              <w:rPr>
                <w:rFonts w:hint="default" w:ascii="Times New Roman" w:hAnsi="Times New Roman" w:eastAsia="仿宋" w:cs="Times New Roman"/>
              </w:rPr>
              <w:t>投标保证金在</w:t>
            </w:r>
            <w:r>
              <w:rPr>
                <w:rFonts w:hint="eastAsia" w:ascii="Times New Roman" w:hAnsi="Times New Roman" w:eastAsia="仿宋" w:cs="Times New Roman"/>
                <w:lang w:val="en-US" w:eastAsia="zh-CN"/>
              </w:rPr>
              <w:t>定标完成</w:t>
            </w:r>
            <w:r>
              <w:rPr>
                <w:rFonts w:hint="default" w:ascii="Times New Roman" w:hAnsi="Times New Roman" w:eastAsia="仿宋" w:cs="Times New Roman"/>
              </w:rPr>
              <w:t>后1</w:t>
            </w:r>
            <w:r>
              <w:rPr>
                <w:rFonts w:hint="eastAsia" w:ascii="Times New Roman" w:hAnsi="Times New Roman" w:eastAsia="仿宋" w:cs="Times New Roman"/>
                <w:lang w:val="en-US" w:eastAsia="zh-CN"/>
              </w:rPr>
              <w:t>5</w:t>
            </w:r>
            <w:r>
              <w:rPr>
                <w:rFonts w:hint="default" w:ascii="Times New Roman" w:hAnsi="Times New Roman" w:eastAsia="仿宋" w:cs="Times New Roman"/>
              </w:rPr>
              <w:t>个工作日内无息退还</w:t>
            </w:r>
            <w:r>
              <w:rPr>
                <w:rFonts w:hint="default" w:ascii="Times New Roman" w:hAnsi="Times New Roman" w:eastAsia="仿宋" w:cs="Times New Roman"/>
                <w:lang w:eastAsia="zh-CN"/>
              </w:rPr>
              <w:t>。</w:t>
            </w:r>
          </w:p>
          <w:p w14:paraId="1E05F199">
            <w:pPr>
              <w:numPr>
                <w:ilvl w:val="0"/>
                <w:numId w:val="4"/>
              </w:numPr>
              <w:spacing w:line="240" w:lineRule="auto"/>
              <w:ind w:left="0" w:leftChars="0" w:firstLine="0" w:firstLineChars="0"/>
              <w:rPr>
                <w:rFonts w:hint="default" w:ascii="Times New Roman" w:hAnsi="Times New Roman" w:eastAsia="仿宋" w:cs="Times New Roman"/>
                <w:b/>
                <w:bCs/>
                <w:kern w:val="0"/>
                <w:szCs w:val="21"/>
              </w:rPr>
            </w:pPr>
            <w:r>
              <w:rPr>
                <w:rFonts w:hint="eastAsia" w:ascii="Times New Roman" w:hAnsi="Times New Roman" w:eastAsia="仿宋" w:cs="Times New Roman"/>
                <w:b/>
                <w:bCs/>
                <w:kern w:val="0"/>
                <w:szCs w:val="21"/>
                <w:lang w:val="en-US" w:eastAsia="zh-CN"/>
              </w:rPr>
              <w:t>账户信息</w:t>
            </w:r>
          </w:p>
          <w:p w14:paraId="2E9A8FC8">
            <w:pPr>
              <w:spacing w:line="240" w:lineRule="auto"/>
              <w:rPr>
                <w:rFonts w:hint="default" w:ascii="Times New Roman" w:hAnsi="Times New Roman" w:eastAsia="仿宋" w:cs="Times New Roman"/>
                <w:kern w:val="0"/>
                <w:szCs w:val="21"/>
                <w:lang w:val="en-US" w:eastAsia="zh-CN"/>
              </w:rPr>
            </w:pPr>
            <w:r>
              <w:rPr>
                <w:rFonts w:hint="eastAsia" w:ascii="Times New Roman" w:hAnsi="Times New Roman" w:eastAsia="仿宋" w:cs="Times New Roman"/>
                <w:b/>
                <w:bCs/>
                <w:kern w:val="0"/>
                <w:szCs w:val="21"/>
                <w:lang w:val="en-US" w:eastAsia="zh-CN"/>
              </w:rPr>
              <w:t>开户名</w:t>
            </w:r>
            <w:r>
              <w:rPr>
                <w:rFonts w:hint="default" w:ascii="Times New Roman" w:hAnsi="Times New Roman" w:eastAsia="仿宋" w:cs="Times New Roman"/>
                <w:b/>
                <w:bCs/>
                <w:kern w:val="0"/>
                <w:szCs w:val="21"/>
              </w:rPr>
              <w:t>：</w:t>
            </w:r>
            <w:r>
              <w:rPr>
                <w:rFonts w:hint="default" w:ascii="Times New Roman" w:hAnsi="Times New Roman" w:eastAsia="仿宋" w:cs="Times New Roman"/>
                <w:kern w:val="0"/>
                <w:szCs w:val="21"/>
              </w:rPr>
              <w:t>安徽胜鑫唐数能科技有限公司</w:t>
            </w:r>
          </w:p>
          <w:p w14:paraId="21F9639C">
            <w:pPr>
              <w:pStyle w:val="12"/>
              <w:spacing w:line="240" w:lineRule="auto"/>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b/>
                <w:bCs/>
                <w:kern w:val="0"/>
                <w:szCs w:val="21"/>
              </w:rPr>
              <w:t>开户行：</w:t>
            </w:r>
            <w:r>
              <w:rPr>
                <w:rFonts w:hint="default" w:ascii="Times New Roman" w:hAnsi="Times New Roman" w:eastAsia="仿宋" w:cs="Times New Roman"/>
                <w:kern w:val="0"/>
                <w:sz w:val="21"/>
                <w:szCs w:val="21"/>
                <w:lang w:val="en-US" w:eastAsia="zh-CN" w:bidi="ar-SA"/>
              </w:rPr>
              <w:t>徽商银行股份有限公司合肥科技支行</w:t>
            </w:r>
          </w:p>
          <w:p w14:paraId="35859325">
            <w:pPr>
              <w:spacing w:line="240" w:lineRule="auto"/>
              <w:rPr>
                <w:rFonts w:hint="default" w:ascii="Times New Roman" w:hAnsi="Times New Roman" w:eastAsia="仿宋" w:cs="Times New Roman"/>
                <w:b/>
                <w:bCs/>
                <w:kern w:val="0"/>
                <w:szCs w:val="21"/>
                <w:lang w:val="en-US" w:eastAsia="zh-CN"/>
              </w:rPr>
            </w:pPr>
            <w:r>
              <w:rPr>
                <w:rFonts w:hint="default" w:ascii="Times New Roman" w:hAnsi="Times New Roman" w:eastAsia="仿宋" w:cs="Times New Roman"/>
                <w:b/>
                <w:bCs/>
                <w:kern w:val="0"/>
                <w:szCs w:val="21"/>
              </w:rPr>
              <w:t>账</w:t>
            </w:r>
            <w:r>
              <w:rPr>
                <w:rFonts w:hint="eastAsia" w:eastAsia="仿宋" w:cs="Times New Roman"/>
                <w:b/>
                <w:bCs/>
                <w:kern w:val="0"/>
                <w:szCs w:val="21"/>
                <w:lang w:val="en-US" w:eastAsia="zh-CN"/>
              </w:rPr>
              <w:t xml:space="preserve">  </w:t>
            </w:r>
            <w:r>
              <w:rPr>
                <w:rFonts w:hint="default" w:ascii="Times New Roman" w:hAnsi="Times New Roman" w:eastAsia="仿宋" w:cs="Times New Roman"/>
                <w:b/>
                <w:bCs/>
                <w:kern w:val="0"/>
                <w:szCs w:val="21"/>
              </w:rPr>
              <w:t>号：</w:t>
            </w:r>
            <w:r>
              <w:rPr>
                <w:rFonts w:hint="default" w:ascii="Times New Roman" w:hAnsi="Times New Roman" w:eastAsia="仿宋" w:cs="Times New Roman"/>
                <w:kern w:val="0"/>
                <w:sz w:val="21"/>
                <w:szCs w:val="21"/>
                <w:lang w:val="en-US" w:eastAsia="zh-CN" w:bidi="ar-SA"/>
              </w:rPr>
              <w:t>2616</w:t>
            </w:r>
            <w:r>
              <w:rPr>
                <w:rFonts w:hint="eastAsia" w:eastAsia="仿宋" w:cs="Times New Roman"/>
                <w:kern w:val="0"/>
                <w:sz w:val="21"/>
                <w:szCs w:val="21"/>
                <w:lang w:val="en-US" w:eastAsia="zh-CN" w:bidi="ar-SA"/>
              </w:rPr>
              <w:t xml:space="preserve"> </w:t>
            </w:r>
            <w:r>
              <w:rPr>
                <w:rFonts w:hint="default" w:ascii="Times New Roman" w:hAnsi="Times New Roman" w:eastAsia="仿宋" w:cs="Times New Roman"/>
                <w:kern w:val="0"/>
                <w:sz w:val="21"/>
                <w:szCs w:val="21"/>
                <w:lang w:val="en-US" w:eastAsia="zh-CN" w:bidi="ar-SA"/>
              </w:rPr>
              <w:t>5548</w:t>
            </w:r>
            <w:r>
              <w:rPr>
                <w:rFonts w:hint="eastAsia" w:eastAsia="仿宋" w:cs="Times New Roman"/>
                <w:kern w:val="0"/>
                <w:sz w:val="21"/>
                <w:szCs w:val="21"/>
                <w:lang w:val="en-US" w:eastAsia="zh-CN" w:bidi="ar-SA"/>
              </w:rPr>
              <w:t xml:space="preserve"> </w:t>
            </w:r>
            <w:r>
              <w:rPr>
                <w:rFonts w:hint="default" w:ascii="Times New Roman" w:hAnsi="Times New Roman" w:eastAsia="仿宋" w:cs="Times New Roman"/>
                <w:kern w:val="0"/>
                <w:sz w:val="21"/>
                <w:szCs w:val="21"/>
                <w:lang w:val="en-US" w:eastAsia="zh-CN" w:bidi="ar-SA"/>
              </w:rPr>
              <w:t>7901</w:t>
            </w:r>
            <w:r>
              <w:rPr>
                <w:rFonts w:hint="eastAsia" w:eastAsia="仿宋" w:cs="Times New Roman"/>
                <w:kern w:val="0"/>
                <w:sz w:val="21"/>
                <w:szCs w:val="21"/>
                <w:lang w:val="en-US" w:eastAsia="zh-CN" w:bidi="ar-SA"/>
              </w:rPr>
              <w:t xml:space="preserve"> </w:t>
            </w:r>
            <w:r>
              <w:rPr>
                <w:rFonts w:hint="default" w:ascii="Times New Roman" w:hAnsi="Times New Roman" w:eastAsia="仿宋" w:cs="Times New Roman"/>
                <w:kern w:val="0"/>
                <w:sz w:val="21"/>
                <w:szCs w:val="21"/>
                <w:lang w:val="en-US" w:eastAsia="zh-CN" w:bidi="ar-SA"/>
              </w:rPr>
              <w:t>0000</w:t>
            </w:r>
            <w:r>
              <w:rPr>
                <w:rFonts w:hint="eastAsia" w:eastAsia="仿宋" w:cs="Times New Roman"/>
                <w:kern w:val="0"/>
                <w:sz w:val="21"/>
                <w:szCs w:val="21"/>
                <w:lang w:val="en-US" w:eastAsia="zh-CN" w:bidi="ar-SA"/>
              </w:rPr>
              <w:t xml:space="preserve"> </w:t>
            </w:r>
            <w:r>
              <w:rPr>
                <w:rFonts w:hint="default" w:ascii="Times New Roman" w:hAnsi="Times New Roman" w:eastAsia="仿宋" w:cs="Times New Roman"/>
                <w:kern w:val="0"/>
                <w:sz w:val="21"/>
                <w:szCs w:val="21"/>
                <w:lang w:val="en-US" w:eastAsia="zh-CN" w:bidi="ar-SA"/>
              </w:rPr>
              <w:t>02</w:t>
            </w:r>
          </w:p>
          <w:p w14:paraId="7AA3B136">
            <w:pPr>
              <w:spacing w:line="240" w:lineRule="auto"/>
              <w:rPr>
                <w:rFonts w:hint="default" w:ascii="Times New Roman" w:hAnsi="Times New Roman" w:eastAsia="仿宋" w:cs="Times New Roman"/>
                <w:lang w:val="en-US" w:eastAsia="zh-CN"/>
              </w:rPr>
            </w:pPr>
            <w:r>
              <w:rPr>
                <w:rFonts w:hint="default" w:ascii="Times New Roman" w:hAnsi="Times New Roman" w:eastAsia="仿宋" w:cs="Times New Roman"/>
                <w:b/>
                <w:bCs/>
                <w:kern w:val="0"/>
                <w:szCs w:val="21"/>
              </w:rPr>
              <w:t>说明：</w:t>
            </w:r>
            <w:r>
              <w:rPr>
                <w:rFonts w:hint="default" w:ascii="Times New Roman" w:hAnsi="Times New Roman" w:eastAsia="仿宋" w:cs="Times New Roman"/>
                <w:kern w:val="0"/>
                <w:szCs w:val="21"/>
              </w:rPr>
              <w:t>请缴款人注明招标项目名称、公司名称、款项信息</w:t>
            </w:r>
          </w:p>
        </w:tc>
      </w:tr>
      <w:tr w14:paraId="41138F87">
        <w:tblPrEx>
          <w:tblCellMar>
            <w:top w:w="0" w:type="dxa"/>
            <w:left w:w="108" w:type="dxa"/>
            <w:bottom w:w="0" w:type="dxa"/>
            <w:right w:w="108" w:type="dxa"/>
          </w:tblCellMar>
        </w:tblPrEx>
        <w:trPr>
          <w:trHeight w:val="576" w:hRule="atLeast"/>
        </w:trPr>
        <w:tc>
          <w:tcPr>
            <w:tcW w:w="930" w:type="dxa"/>
            <w:tcBorders>
              <w:top w:val="single" w:color="auto" w:sz="4" w:space="0"/>
              <w:left w:val="single" w:color="auto" w:sz="4" w:space="0"/>
              <w:bottom w:val="single" w:color="auto" w:sz="4" w:space="0"/>
              <w:right w:val="single" w:color="auto" w:sz="4" w:space="0"/>
            </w:tcBorders>
            <w:vAlign w:val="center"/>
          </w:tcPr>
          <w:p w14:paraId="145FD917">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63047BD7">
            <w:pPr>
              <w:rPr>
                <w:rFonts w:hint="default" w:eastAsia="仿宋" w:cs="Times New Roman"/>
                <w:lang w:val="en-US" w:eastAsia="zh-CN"/>
              </w:rPr>
            </w:pPr>
            <w:r>
              <w:rPr>
                <w:rFonts w:hint="eastAsia" w:eastAsia="仿宋" w:cs="Times New Roman"/>
                <w:lang w:val="en-US" w:eastAsia="zh-CN"/>
              </w:rPr>
              <w:t>投标答疑</w:t>
            </w:r>
          </w:p>
        </w:tc>
        <w:tc>
          <w:tcPr>
            <w:tcW w:w="6450" w:type="dxa"/>
            <w:tcBorders>
              <w:top w:val="single" w:color="auto" w:sz="4" w:space="0"/>
              <w:left w:val="single" w:color="auto" w:sz="4" w:space="0"/>
              <w:bottom w:val="single" w:color="auto" w:sz="4" w:space="0"/>
              <w:right w:val="single" w:color="auto" w:sz="4" w:space="0"/>
            </w:tcBorders>
            <w:vAlign w:val="center"/>
          </w:tcPr>
          <w:p w14:paraId="71F3E316">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仿宋" w:cs="Times New Roman"/>
                <w:u w:val="single"/>
                <w:lang w:val="en-US" w:eastAsia="zh-CN"/>
              </w:rPr>
            </w:pPr>
            <w:r>
              <w:rPr>
                <w:rFonts w:hint="eastAsia" w:ascii="Times New Roman" w:hAnsi="Times New Roman" w:eastAsia="仿宋" w:cs="Times New Roman"/>
                <w:lang w:val="en-US" w:eastAsia="zh-CN"/>
              </w:rPr>
              <w:t>各投标人如有疑问或异议请于投标截止之日</w:t>
            </w:r>
            <w:r>
              <w:rPr>
                <w:rFonts w:hint="eastAsia" w:ascii="Times New Roman" w:hAnsi="Times New Roman" w:eastAsia="仿宋" w:cs="Times New Roman"/>
                <w:u w:val="single"/>
                <w:lang w:val="en-US" w:eastAsia="zh-CN"/>
              </w:rPr>
              <w:t xml:space="preserve"> 3 </w:t>
            </w:r>
            <w:r>
              <w:rPr>
                <w:rFonts w:hint="eastAsia" w:ascii="Times New Roman" w:hAnsi="Times New Roman" w:eastAsia="仿宋" w:cs="Times New Roman"/>
                <w:lang w:val="en-US" w:eastAsia="zh-CN"/>
              </w:rPr>
              <w:t>日前将疑问以邮件方式发至</w:t>
            </w:r>
            <w:r>
              <w:rPr>
                <w:rFonts w:hint="eastAsia" w:ascii="Times New Roman" w:hAnsi="Times New Roman" w:eastAsia="仿宋" w:cs="Times New Roman"/>
                <w:u w:val="single"/>
                <w:lang w:val="en-US" w:eastAsia="zh-CN"/>
              </w:rPr>
              <w:t>shengxintangjicai@163.com</w:t>
            </w:r>
            <w:r>
              <w:rPr>
                <w:rFonts w:hint="eastAsia" w:ascii="Times New Roman" w:hAnsi="Times New Roman" w:eastAsia="仿宋" w:cs="Times New Roman"/>
                <w:u w:val="none"/>
                <w:lang w:val="en-US" w:eastAsia="zh-CN"/>
              </w:rPr>
              <w:t>并电话告知投标文件递交联系人。</w:t>
            </w:r>
          </w:p>
        </w:tc>
      </w:tr>
      <w:tr w14:paraId="354316D2">
        <w:tblPrEx>
          <w:tblCellMar>
            <w:top w:w="0" w:type="dxa"/>
            <w:left w:w="108" w:type="dxa"/>
            <w:bottom w:w="0" w:type="dxa"/>
            <w:right w:w="108" w:type="dxa"/>
          </w:tblCellMar>
        </w:tblPrEx>
        <w:trPr>
          <w:trHeight w:val="576" w:hRule="atLeast"/>
        </w:trPr>
        <w:tc>
          <w:tcPr>
            <w:tcW w:w="930" w:type="dxa"/>
            <w:tcBorders>
              <w:top w:val="single" w:color="auto" w:sz="4" w:space="0"/>
              <w:left w:val="single" w:color="auto" w:sz="4" w:space="0"/>
              <w:bottom w:val="single" w:color="auto" w:sz="4" w:space="0"/>
              <w:right w:val="single" w:color="auto" w:sz="4" w:space="0"/>
            </w:tcBorders>
            <w:vAlign w:val="center"/>
          </w:tcPr>
          <w:p w14:paraId="32E022D9">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12E5BF25">
            <w:pPr>
              <w:rPr>
                <w:rFonts w:hint="default" w:eastAsia="仿宋" w:cs="Times New Roman"/>
                <w:lang w:val="en-US" w:eastAsia="zh-CN"/>
              </w:rPr>
            </w:pPr>
            <w:r>
              <w:rPr>
                <w:rFonts w:hint="eastAsia" w:eastAsia="仿宋" w:cs="Times New Roman"/>
                <w:lang w:val="en-US" w:eastAsia="zh-CN"/>
              </w:rPr>
              <w:t>投标文件递交</w:t>
            </w:r>
          </w:p>
        </w:tc>
        <w:tc>
          <w:tcPr>
            <w:tcW w:w="6450" w:type="dxa"/>
            <w:tcBorders>
              <w:top w:val="single" w:color="auto" w:sz="4" w:space="0"/>
              <w:left w:val="single" w:color="auto" w:sz="4" w:space="0"/>
              <w:bottom w:val="single" w:color="auto" w:sz="4" w:space="0"/>
              <w:right w:val="single" w:color="auto" w:sz="4" w:space="0"/>
            </w:tcBorders>
            <w:vAlign w:val="center"/>
          </w:tcPr>
          <w:p w14:paraId="74891804">
            <w:pPr>
              <w:adjustRightInd w:val="0"/>
              <w:snapToGrid w:val="0"/>
              <w:spacing w:line="240" w:lineRule="auto"/>
              <w:rPr>
                <w:rFonts w:hint="default" w:ascii="Times New Roman" w:hAnsi="Times New Roman" w:eastAsia="仿宋" w:cs="Times New Roman"/>
                <w:b w:val="0"/>
                <w:bCs/>
                <w:snapToGrid w:val="0"/>
                <w:szCs w:val="21"/>
              </w:rPr>
            </w:pPr>
            <w:r>
              <w:rPr>
                <w:rFonts w:hint="default" w:ascii="Times New Roman" w:hAnsi="Times New Roman" w:eastAsia="仿宋" w:cs="Times New Roman"/>
                <w:b w:val="0"/>
                <w:bCs/>
                <w:kern w:val="0"/>
                <w:szCs w:val="21"/>
              </w:rPr>
              <w:t>投标人将纸质版标书密封后</w:t>
            </w:r>
            <w:r>
              <w:rPr>
                <w:rFonts w:hint="eastAsia" w:eastAsia="仿宋" w:cs="Times New Roman"/>
                <w:b w:val="0"/>
                <w:bCs/>
                <w:kern w:val="0"/>
                <w:szCs w:val="21"/>
                <w:lang w:val="en-US" w:eastAsia="zh-CN"/>
              </w:rPr>
              <w:t>传达</w:t>
            </w:r>
            <w:r>
              <w:rPr>
                <w:rFonts w:hint="default" w:ascii="Times New Roman" w:hAnsi="Times New Roman" w:eastAsia="仿宋" w:cs="Times New Roman"/>
                <w:b w:val="0"/>
                <w:bCs/>
                <w:kern w:val="0"/>
                <w:szCs w:val="21"/>
              </w:rPr>
              <w:t>至</w:t>
            </w:r>
            <w:r>
              <w:rPr>
                <w:rFonts w:hint="eastAsia" w:eastAsia="仿宋" w:cs="Times New Roman"/>
                <w:b w:val="0"/>
                <w:bCs/>
                <w:color w:val="000000"/>
                <w:kern w:val="0"/>
                <w:szCs w:val="21"/>
                <w:lang w:val="en-US" w:eastAsia="zh-CN"/>
              </w:rPr>
              <w:t>下列地址</w:t>
            </w:r>
            <w:r>
              <w:rPr>
                <w:rFonts w:hint="default" w:ascii="Times New Roman" w:hAnsi="Times New Roman" w:eastAsia="仿宋" w:cs="Times New Roman"/>
                <w:b w:val="0"/>
                <w:bCs/>
                <w:color w:val="000000"/>
                <w:kern w:val="0"/>
                <w:szCs w:val="21"/>
              </w:rPr>
              <w:t>；</w:t>
            </w:r>
          </w:p>
          <w:p w14:paraId="2D83D2A7">
            <w:pPr>
              <w:numPr>
                <w:ilvl w:val="0"/>
                <w:numId w:val="5"/>
              </w:numPr>
              <w:spacing w:line="240" w:lineRule="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截止时间：</w:t>
            </w:r>
            <w:r>
              <w:rPr>
                <w:rFonts w:hint="eastAsia" w:eastAsia="仿宋" w:cs="Times New Roman"/>
                <w:u w:val="single"/>
                <w:lang w:val="en-US" w:eastAsia="zh-CN"/>
              </w:rPr>
              <w:t>2026</w:t>
            </w:r>
            <w:r>
              <w:rPr>
                <w:rFonts w:hint="default" w:ascii="Times New Roman" w:hAnsi="Times New Roman" w:eastAsia="仿宋" w:cs="Times New Roman"/>
              </w:rPr>
              <w:t>年</w:t>
            </w:r>
            <w:r>
              <w:rPr>
                <w:rFonts w:hint="eastAsia" w:eastAsia="仿宋" w:cs="Times New Roman"/>
                <w:u w:val="single"/>
                <w:lang w:val="en-US" w:eastAsia="zh-CN"/>
              </w:rPr>
              <w:t>7</w:t>
            </w:r>
            <w:r>
              <w:rPr>
                <w:rFonts w:hint="default" w:ascii="Times New Roman" w:hAnsi="Times New Roman" w:eastAsia="仿宋" w:cs="Times New Roman"/>
              </w:rPr>
              <w:t>月</w:t>
            </w:r>
            <w:r>
              <w:rPr>
                <w:rFonts w:hint="eastAsia" w:eastAsia="仿宋" w:cs="Times New Roman"/>
                <w:u w:val="single"/>
                <w:lang w:val="en-US" w:eastAsia="zh-CN"/>
              </w:rPr>
              <w:t>25</w:t>
            </w:r>
            <w:r>
              <w:rPr>
                <w:rFonts w:hint="default" w:ascii="Times New Roman" w:hAnsi="Times New Roman" w:eastAsia="仿宋" w:cs="Times New Roman"/>
              </w:rPr>
              <w:t>日</w:t>
            </w:r>
          </w:p>
          <w:p w14:paraId="2682ED58">
            <w:pPr>
              <w:pStyle w:val="12"/>
              <w:numPr>
                <w:ilvl w:val="0"/>
                <w:numId w:val="5"/>
              </w:numPr>
              <w:spacing w:line="240" w:lineRule="auto"/>
              <w:ind w:left="0" w:leftChars="0" w:firstLine="0" w:firstLineChars="0"/>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份    数：壹份</w:t>
            </w:r>
          </w:p>
          <w:p w14:paraId="6E2424C8">
            <w:pPr>
              <w:pStyle w:val="12"/>
              <w:numPr>
                <w:ilvl w:val="0"/>
                <w:numId w:val="5"/>
              </w:numPr>
              <w:spacing w:line="240" w:lineRule="auto"/>
              <w:ind w:left="0" w:leftChars="0" w:firstLine="0" w:firstLineChars="0"/>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地    址：安徽省亳州市亳芜产业园区2.5产业园三楼</w:t>
            </w:r>
          </w:p>
          <w:p w14:paraId="32DCA27E">
            <w:pPr>
              <w:pStyle w:val="12"/>
              <w:numPr>
                <w:ilvl w:val="0"/>
                <w:numId w:val="5"/>
              </w:numPr>
              <w:spacing w:line="240" w:lineRule="auto"/>
              <w:ind w:left="0" w:leftChars="0" w:firstLine="0" w:firstLineChars="0"/>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联 系 人：「李工 18133135553 」</w:t>
            </w:r>
          </w:p>
        </w:tc>
      </w:tr>
      <w:tr w14:paraId="72532109">
        <w:tblPrEx>
          <w:tblCellMar>
            <w:top w:w="0" w:type="dxa"/>
            <w:left w:w="108" w:type="dxa"/>
            <w:bottom w:w="0" w:type="dxa"/>
            <w:right w:w="108" w:type="dxa"/>
          </w:tblCellMar>
        </w:tblPrEx>
        <w:trPr>
          <w:trHeight w:val="1008" w:hRule="atLeast"/>
        </w:trPr>
        <w:tc>
          <w:tcPr>
            <w:tcW w:w="930" w:type="dxa"/>
            <w:tcBorders>
              <w:top w:val="single" w:color="auto" w:sz="4" w:space="0"/>
              <w:left w:val="single" w:color="auto" w:sz="4" w:space="0"/>
              <w:bottom w:val="single" w:color="auto" w:sz="4" w:space="0"/>
              <w:right w:val="single" w:color="auto" w:sz="4" w:space="0"/>
            </w:tcBorders>
            <w:vAlign w:val="center"/>
          </w:tcPr>
          <w:p w14:paraId="1E9B21F8">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6B7ADB48">
            <w:pPr>
              <w:rPr>
                <w:rFonts w:hint="default" w:ascii="Times New Roman" w:hAnsi="Times New Roman" w:eastAsia="仿宋" w:cs="Times New Roman"/>
                <w:color w:val="000000"/>
                <w:szCs w:val="21"/>
              </w:rPr>
            </w:pPr>
            <w:r>
              <w:rPr>
                <w:rFonts w:hint="eastAsia" w:eastAsia="仿宋" w:cs="Times New Roman"/>
                <w:color w:val="000000"/>
                <w:szCs w:val="21"/>
                <w:lang w:val="en-US" w:eastAsia="zh-CN"/>
              </w:rPr>
              <w:t>定</w:t>
            </w:r>
            <w:r>
              <w:rPr>
                <w:rFonts w:hint="default" w:ascii="Times New Roman" w:hAnsi="Times New Roman" w:eastAsia="仿宋" w:cs="Times New Roman"/>
                <w:color w:val="000000"/>
                <w:szCs w:val="21"/>
              </w:rPr>
              <w:t>标办法</w:t>
            </w:r>
          </w:p>
        </w:tc>
        <w:tc>
          <w:tcPr>
            <w:tcW w:w="6450" w:type="dxa"/>
            <w:tcBorders>
              <w:top w:val="single" w:color="auto" w:sz="4" w:space="0"/>
              <w:left w:val="single" w:color="auto" w:sz="4" w:space="0"/>
              <w:bottom w:val="single" w:color="auto" w:sz="4" w:space="0"/>
              <w:right w:val="single" w:color="auto" w:sz="4" w:space="0"/>
            </w:tcBorders>
            <w:vAlign w:val="center"/>
          </w:tcPr>
          <w:p w14:paraId="3A233FD9">
            <w:pPr>
              <w:numPr>
                <w:ilvl w:val="0"/>
                <w:numId w:val="6"/>
              </w:numPr>
              <w:spacing w:line="240" w:lineRule="auto"/>
              <w:rPr>
                <w:rFonts w:hint="default" w:ascii="Times New Roman" w:hAnsi="Times New Roman" w:eastAsia="仿宋" w:cs="Times New Roman"/>
              </w:rPr>
            </w:pPr>
            <w:r>
              <w:rPr>
                <w:rFonts w:hint="default" w:ascii="Times New Roman" w:hAnsi="Times New Roman" w:eastAsia="仿宋" w:cs="Times New Roman"/>
                <w:lang w:val="en-US" w:eastAsia="zh-CN"/>
              </w:rPr>
              <w:t>定标原则：</w:t>
            </w:r>
            <w:r>
              <w:rPr>
                <w:rFonts w:hint="default" w:ascii="Times New Roman" w:hAnsi="Times New Roman" w:eastAsia="仿宋" w:cs="Times New Roman"/>
                <w:b/>
                <w:bCs/>
                <w:lang w:val="en-US" w:eastAsia="zh-CN"/>
              </w:rPr>
              <w:t>最低合理报价</w:t>
            </w:r>
            <w:r>
              <w:rPr>
                <w:rFonts w:hint="eastAsia" w:eastAsia="仿宋" w:cs="Times New Roman"/>
                <w:b/>
                <w:bCs/>
                <w:lang w:val="en-US" w:eastAsia="zh-CN"/>
              </w:rPr>
              <w:t>，</w:t>
            </w:r>
            <w:r>
              <w:rPr>
                <w:rFonts w:hint="default" w:ascii="Times New Roman" w:hAnsi="Times New Roman" w:eastAsia="仿宋" w:cs="Times New Roman"/>
              </w:rPr>
              <w:t>招标</w:t>
            </w:r>
            <w:r>
              <w:rPr>
                <w:rFonts w:hint="default" w:ascii="Times New Roman" w:hAnsi="Times New Roman" w:eastAsia="仿宋" w:cs="Times New Roman"/>
                <w:lang w:val="en-US" w:eastAsia="zh-CN"/>
              </w:rPr>
              <w:t>人</w:t>
            </w:r>
            <w:r>
              <w:rPr>
                <w:rFonts w:hint="default" w:ascii="Times New Roman" w:hAnsi="Times New Roman" w:eastAsia="仿宋" w:cs="Times New Roman"/>
              </w:rPr>
              <w:t>无义务对未中标原因做出解释。</w:t>
            </w:r>
          </w:p>
          <w:p w14:paraId="69B53030">
            <w:pPr>
              <w:pStyle w:val="12"/>
              <w:numPr>
                <w:ilvl w:val="0"/>
                <w:numId w:val="6"/>
              </w:numPr>
              <w:spacing w:line="240" w:lineRule="auto"/>
              <w:ind w:left="0" w:leftChars="0" w:firstLine="0" w:firstLineChars="0"/>
              <w:rPr>
                <w:rFonts w:hint="default" w:ascii="Times New Roman" w:hAnsi="Times New Roman" w:eastAsia="仿宋" w:cs="Times New Roman"/>
                <w:lang w:val="en-US" w:eastAsia="zh-CN"/>
              </w:rPr>
            </w:pPr>
            <w:r>
              <w:rPr>
                <w:rFonts w:hint="default" w:ascii="Times New Roman" w:hAnsi="Times New Roman" w:eastAsia="仿宋" w:cs="Times New Roman"/>
                <w:b/>
                <w:bCs/>
                <w:kern w:val="2"/>
                <w:sz w:val="21"/>
                <w:szCs w:val="24"/>
                <w:lang w:val="en-US" w:eastAsia="zh-CN" w:bidi="ar-SA"/>
              </w:rPr>
              <w:t>招标人根据投标情况决定</w:t>
            </w:r>
            <w:r>
              <w:rPr>
                <w:rFonts w:hint="eastAsia" w:ascii="Times New Roman" w:hAnsi="Times New Roman" w:eastAsia="仿宋" w:cs="Times New Roman"/>
                <w:b/>
                <w:bCs/>
                <w:kern w:val="2"/>
                <w:sz w:val="21"/>
                <w:szCs w:val="24"/>
                <w:lang w:val="en-US" w:eastAsia="zh-CN" w:bidi="ar-SA"/>
              </w:rPr>
              <w:t>报价</w:t>
            </w:r>
            <w:r>
              <w:rPr>
                <w:rFonts w:hint="default" w:ascii="Times New Roman" w:hAnsi="Times New Roman" w:eastAsia="仿宋" w:cs="Times New Roman"/>
                <w:b/>
                <w:bCs/>
                <w:kern w:val="2"/>
                <w:sz w:val="21"/>
                <w:szCs w:val="24"/>
                <w:lang w:val="en-US" w:eastAsia="zh-CN" w:bidi="ar-SA"/>
              </w:rPr>
              <w:t>轮数及</w:t>
            </w:r>
            <w:r>
              <w:rPr>
                <w:rFonts w:hint="eastAsia" w:ascii="Times New Roman" w:hAnsi="Times New Roman" w:eastAsia="仿宋" w:cs="Times New Roman"/>
                <w:b/>
                <w:bCs/>
                <w:kern w:val="2"/>
                <w:sz w:val="21"/>
                <w:szCs w:val="24"/>
                <w:lang w:val="en-US" w:eastAsia="zh-CN" w:bidi="ar-SA"/>
              </w:rPr>
              <w:t>再次</w:t>
            </w:r>
            <w:r>
              <w:rPr>
                <w:rFonts w:hint="default" w:ascii="Times New Roman" w:hAnsi="Times New Roman" w:eastAsia="仿宋" w:cs="Times New Roman"/>
                <w:b/>
                <w:bCs/>
                <w:kern w:val="2"/>
                <w:sz w:val="21"/>
                <w:szCs w:val="24"/>
                <w:lang w:val="en-US" w:eastAsia="zh-CN" w:bidi="ar-SA"/>
              </w:rPr>
              <w:t>报价的入围单位名单</w:t>
            </w:r>
            <w:r>
              <w:rPr>
                <w:rFonts w:hint="eastAsia" w:ascii="Times New Roman" w:hAnsi="Times New Roman" w:eastAsia="仿宋" w:cs="Times New Roman"/>
                <w:b/>
                <w:bCs/>
                <w:kern w:val="2"/>
                <w:sz w:val="21"/>
                <w:szCs w:val="24"/>
                <w:lang w:val="en-US" w:eastAsia="zh-CN" w:bidi="ar-SA"/>
              </w:rPr>
              <w:t>，多轮报价后最低价仍高于招标人的控制价，招标人保留进一步与最低价投标人议价至合理水平的权利，并视最低价投标人的接受程度决定是否与次低价单位洽商。</w:t>
            </w:r>
          </w:p>
        </w:tc>
      </w:tr>
    </w:tbl>
    <w:p w14:paraId="00085855">
      <w:pPr>
        <w:rPr>
          <w:rFonts w:asciiTheme="minorEastAsia" w:hAnsiTheme="minorEastAsia" w:eastAsiaTheme="minorEastAsia"/>
          <w:sz w:val="32"/>
          <w:szCs w:val="28"/>
        </w:rPr>
      </w:pPr>
      <w:r>
        <w:rPr>
          <w:rFonts w:hint="eastAsia" w:asciiTheme="minorEastAsia" w:hAnsiTheme="minorEastAsia" w:eastAsiaTheme="minorEastAsia"/>
          <w:sz w:val="32"/>
          <w:szCs w:val="28"/>
          <w:lang w:val="en-US" w:eastAsia="zh-CN"/>
        </w:rPr>
        <w:br w:type="page"/>
      </w:r>
    </w:p>
    <w:p w14:paraId="4CAD7748">
      <w:pPr>
        <w:pStyle w:val="13"/>
        <w:numPr>
          <w:ilvl w:val="0"/>
          <w:numId w:val="1"/>
        </w:numPr>
        <w:spacing w:line="360" w:lineRule="auto"/>
        <w:ind w:firstLineChars="0"/>
        <w:jc w:val="center"/>
        <w:rPr>
          <w:rFonts w:asciiTheme="minorEastAsia" w:hAnsiTheme="minorEastAsia" w:eastAsiaTheme="minorEastAsia"/>
          <w:sz w:val="32"/>
          <w:szCs w:val="28"/>
        </w:rPr>
      </w:pPr>
      <w:r>
        <w:rPr>
          <w:rFonts w:hint="eastAsia" w:asciiTheme="minorEastAsia" w:hAnsiTheme="minorEastAsia" w:eastAsiaTheme="minorEastAsia"/>
          <w:sz w:val="32"/>
          <w:szCs w:val="28"/>
          <w:lang w:val="en-US" w:eastAsia="zh-CN"/>
        </w:rPr>
        <w:t>合同主要条款</w:t>
      </w:r>
    </w:p>
    <w:tbl>
      <w:tblPr>
        <w:tblStyle w:val="10"/>
        <w:tblW w:w="9330" w:type="dxa"/>
        <w:tblInd w:w="527" w:type="dxa"/>
        <w:tblLayout w:type="fixed"/>
        <w:tblCellMar>
          <w:top w:w="0" w:type="dxa"/>
          <w:left w:w="108" w:type="dxa"/>
          <w:bottom w:w="0" w:type="dxa"/>
          <w:right w:w="108" w:type="dxa"/>
        </w:tblCellMar>
      </w:tblPr>
      <w:tblGrid>
        <w:gridCol w:w="930"/>
        <w:gridCol w:w="1950"/>
        <w:gridCol w:w="6450"/>
      </w:tblGrid>
      <w:tr w14:paraId="1555FAE2">
        <w:tblPrEx>
          <w:tblCellMar>
            <w:top w:w="0" w:type="dxa"/>
            <w:left w:w="108" w:type="dxa"/>
            <w:bottom w:w="0" w:type="dxa"/>
            <w:right w:w="108" w:type="dxa"/>
          </w:tblCellMar>
        </w:tblPrEx>
        <w:trPr>
          <w:trHeight w:val="452" w:hRule="atLeast"/>
        </w:trPr>
        <w:tc>
          <w:tcPr>
            <w:tcW w:w="930" w:type="dxa"/>
            <w:tcBorders>
              <w:top w:val="single" w:color="auto" w:sz="4" w:space="0"/>
              <w:left w:val="single" w:color="auto" w:sz="4" w:space="0"/>
              <w:bottom w:val="single" w:color="auto" w:sz="4" w:space="0"/>
              <w:right w:val="single" w:color="auto" w:sz="4" w:space="0"/>
            </w:tcBorders>
            <w:vAlign w:val="center"/>
          </w:tcPr>
          <w:p w14:paraId="17D5CE75">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序号</w:t>
            </w:r>
          </w:p>
        </w:tc>
        <w:tc>
          <w:tcPr>
            <w:tcW w:w="1950" w:type="dxa"/>
            <w:tcBorders>
              <w:top w:val="single" w:color="auto" w:sz="4" w:space="0"/>
              <w:left w:val="single" w:color="auto" w:sz="4" w:space="0"/>
              <w:bottom w:val="single" w:color="auto" w:sz="4" w:space="0"/>
              <w:right w:val="single" w:color="auto" w:sz="4" w:space="0"/>
            </w:tcBorders>
            <w:vAlign w:val="center"/>
          </w:tcPr>
          <w:p w14:paraId="59922121">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条款名称</w:t>
            </w:r>
          </w:p>
        </w:tc>
        <w:tc>
          <w:tcPr>
            <w:tcW w:w="6450" w:type="dxa"/>
            <w:tcBorders>
              <w:top w:val="single" w:color="auto" w:sz="4" w:space="0"/>
              <w:left w:val="single" w:color="auto" w:sz="4" w:space="0"/>
              <w:bottom w:val="single" w:color="auto" w:sz="4" w:space="0"/>
              <w:right w:val="single" w:color="auto" w:sz="4" w:space="0"/>
            </w:tcBorders>
            <w:vAlign w:val="center"/>
          </w:tcPr>
          <w:p w14:paraId="0F1ADE90">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编列内容</w:t>
            </w:r>
          </w:p>
        </w:tc>
      </w:tr>
      <w:tr w14:paraId="49AA4AB0">
        <w:tblPrEx>
          <w:tblCellMar>
            <w:top w:w="0" w:type="dxa"/>
            <w:left w:w="108" w:type="dxa"/>
            <w:bottom w:w="0" w:type="dxa"/>
            <w:right w:w="108" w:type="dxa"/>
          </w:tblCellMar>
        </w:tblPrEx>
        <w:trPr>
          <w:trHeight w:val="1850" w:hRule="atLeast"/>
        </w:trPr>
        <w:tc>
          <w:tcPr>
            <w:tcW w:w="930" w:type="dxa"/>
            <w:tcBorders>
              <w:top w:val="single" w:color="auto" w:sz="4" w:space="0"/>
              <w:left w:val="single" w:color="auto" w:sz="4" w:space="0"/>
              <w:bottom w:val="single" w:color="auto" w:sz="4" w:space="0"/>
              <w:right w:val="single" w:color="auto" w:sz="4" w:space="0"/>
            </w:tcBorders>
            <w:vAlign w:val="center"/>
          </w:tcPr>
          <w:p w14:paraId="6E66122C">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774BA02F">
            <w:pPr>
              <w:rPr>
                <w:rFonts w:hint="default" w:ascii="Times New Roman" w:hAnsi="Times New Roman" w:eastAsia="仿宋" w:cs="Times New Roman"/>
                <w:b w:val="0"/>
                <w:bCs w:val="0"/>
                <w:color w:val="000000"/>
                <w:szCs w:val="21"/>
                <w:lang w:val="en-US" w:eastAsia="zh-CN"/>
              </w:rPr>
            </w:pPr>
            <w:r>
              <w:rPr>
                <w:rFonts w:hint="eastAsia" w:ascii="Times New Roman" w:hAnsi="Times New Roman" w:eastAsia="仿宋" w:cs="Times New Roman"/>
                <w:b w:val="0"/>
                <w:bCs w:val="0"/>
                <w:color w:val="000000"/>
                <w:szCs w:val="21"/>
                <w:lang w:val="en-US" w:eastAsia="zh-CN"/>
              </w:rPr>
              <w:t>招标范围</w:t>
            </w:r>
          </w:p>
        </w:tc>
        <w:tc>
          <w:tcPr>
            <w:tcW w:w="6450" w:type="dxa"/>
            <w:tcBorders>
              <w:top w:val="single" w:color="auto" w:sz="4" w:space="0"/>
              <w:left w:val="single" w:color="auto" w:sz="4" w:space="0"/>
              <w:bottom w:val="single" w:color="auto" w:sz="4" w:space="0"/>
              <w:right w:val="single" w:color="auto" w:sz="4" w:space="0"/>
            </w:tcBorders>
            <w:vAlign w:val="center"/>
          </w:tcPr>
          <w:p w14:paraId="23C935BA">
            <w:pPr>
              <w:jc w:val="left"/>
              <w:rPr>
                <w:rFonts w:hint="default" w:ascii="Times New Roman" w:hAnsi="Times New Roman" w:eastAsia="仿宋" w:cs="Times New Roman"/>
                <w:b w:val="0"/>
                <w:bCs w:val="0"/>
                <w:color w:val="000000"/>
                <w:szCs w:val="21"/>
                <w:lang w:val="en-US" w:eastAsia="zh-CN"/>
              </w:rPr>
            </w:pPr>
            <w:r>
              <w:rPr>
                <w:rFonts w:hint="eastAsia" w:eastAsia="仿宋" w:cs="Times New Roman"/>
                <w:b w:val="0"/>
                <w:bCs w:val="0"/>
                <w:color w:val="000000"/>
                <w:szCs w:val="21"/>
                <w:lang w:val="en-US" w:eastAsia="zh-CN"/>
              </w:rPr>
              <w:t>包含但不限于完成以下工作内容：图纸设计范围内的所有铺贴工程，包括但不限于基层处理、弹线排版、二次加工、选砖及浸砖、贴砖、勾缝、清理、材料运输、成品保护、验收等，具体内容以发包人确认的施工图及相关设计文件为准，对于后期可能存在的甲方对于本工程施工部位及施工做法的变更要无条件接受。</w:t>
            </w:r>
          </w:p>
        </w:tc>
      </w:tr>
      <w:tr w14:paraId="61C99E14">
        <w:tblPrEx>
          <w:tblCellMar>
            <w:top w:w="0" w:type="dxa"/>
            <w:left w:w="108" w:type="dxa"/>
            <w:bottom w:w="0" w:type="dxa"/>
            <w:right w:w="108" w:type="dxa"/>
          </w:tblCellMar>
        </w:tblPrEx>
        <w:trPr>
          <w:trHeight w:val="4526" w:hRule="atLeast"/>
        </w:trPr>
        <w:tc>
          <w:tcPr>
            <w:tcW w:w="930" w:type="dxa"/>
            <w:tcBorders>
              <w:top w:val="single" w:color="auto" w:sz="4" w:space="0"/>
              <w:left w:val="single" w:color="auto" w:sz="4" w:space="0"/>
              <w:bottom w:val="single" w:color="auto" w:sz="4" w:space="0"/>
              <w:right w:val="single" w:color="auto" w:sz="4" w:space="0"/>
            </w:tcBorders>
            <w:vAlign w:val="center"/>
          </w:tcPr>
          <w:p w14:paraId="312797FF">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2C874466">
            <w:pPr>
              <w:rPr>
                <w:rFonts w:hint="default" w:ascii="Times New Roman" w:hAnsi="Times New Roman" w:eastAsia="仿宋" w:cs="Times New Roman"/>
                <w:b w:val="0"/>
                <w:bCs w:val="0"/>
                <w:color w:val="000000"/>
                <w:szCs w:val="21"/>
                <w:lang w:val="en-US" w:eastAsia="zh-CN"/>
              </w:rPr>
            </w:pPr>
            <w:r>
              <w:rPr>
                <w:rFonts w:hint="eastAsia" w:ascii="Times New Roman" w:hAnsi="Times New Roman" w:eastAsia="仿宋" w:cs="Times New Roman"/>
                <w:b w:val="0"/>
                <w:bCs w:val="0"/>
                <w:color w:val="000000"/>
                <w:szCs w:val="21"/>
                <w:lang w:val="en-US" w:eastAsia="zh-CN"/>
              </w:rPr>
              <w:t>承包方式</w:t>
            </w:r>
          </w:p>
        </w:tc>
        <w:tc>
          <w:tcPr>
            <w:tcW w:w="6450" w:type="dxa"/>
            <w:tcBorders>
              <w:top w:val="single" w:color="auto" w:sz="4" w:space="0"/>
              <w:left w:val="single" w:color="auto" w:sz="4" w:space="0"/>
              <w:bottom w:val="single" w:color="auto" w:sz="4" w:space="0"/>
              <w:right w:val="single" w:color="auto" w:sz="4" w:space="0"/>
            </w:tcBorders>
            <w:vAlign w:val="center"/>
          </w:tcPr>
          <w:p w14:paraId="2E24C7AC">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采取包工、包辅材（除墙地砖、水泥砂浆、背胶、建筑胶、白水泥外其他材料）、包机械、包工具、包质量、包工期、包安全文明施工，不得转包、包自负盈亏，施工水电由甲方免费提供，接驳由乙方负责并承担费用。除甲方提供的垂直运输机械、泵送机械、物料提升机、一二级配电箱及到一二级配电箱的输电电缆及甲供材以外的其他所有为完成乙方承包工程量而涉及到的机械设备、工具等均由乙方负责（如流动电箱、电钻、带安全防护罩手电据、对讲机、电焊机200Ｗ有防护钢网的白炽灯（不允许适用碘钨灯）等）。</w:t>
            </w:r>
          </w:p>
          <w:p w14:paraId="6FD7A4A9">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1、材料短途运输自行考虑；</w:t>
            </w:r>
            <w:r>
              <w:rPr>
                <w:rFonts w:hint="eastAsia" w:eastAsia="仿宋" w:cs="Times New Roman"/>
                <w:lang w:val="en-US" w:eastAsia="zh-CN"/>
              </w:rPr>
              <w:t>甲方安排叉车卸货至指定地点，乙方安排人员辅助。</w:t>
            </w:r>
          </w:p>
          <w:p w14:paraId="6A5EA4AA">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2、乙方住宿自行考虑</w:t>
            </w:r>
            <w:r>
              <w:rPr>
                <w:rFonts w:hint="eastAsia" w:eastAsia="仿宋" w:cs="Times New Roman"/>
                <w:lang w:val="en-US" w:eastAsia="zh-CN"/>
              </w:rPr>
              <w:t>；</w:t>
            </w:r>
          </w:p>
        </w:tc>
      </w:tr>
      <w:tr w14:paraId="5DB934B7">
        <w:tblPrEx>
          <w:tblCellMar>
            <w:top w:w="0" w:type="dxa"/>
            <w:left w:w="108" w:type="dxa"/>
            <w:bottom w:w="0" w:type="dxa"/>
            <w:right w:w="108" w:type="dxa"/>
          </w:tblCellMar>
        </w:tblPrEx>
        <w:trPr>
          <w:trHeight w:val="454" w:hRule="atLeast"/>
        </w:trPr>
        <w:tc>
          <w:tcPr>
            <w:tcW w:w="930" w:type="dxa"/>
            <w:tcBorders>
              <w:top w:val="single" w:color="auto" w:sz="4" w:space="0"/>
              <w:left w:val="single" w:color="auto" w:sz="4" w:space="0"/>
              <w:bottom w:val="single" w:color="auto" w:sz="4" w:space="0"/>
              <w:right w:val="single" w:color="auto" w:sz="4" w:space="0"/>
            </w:tcBorders>
            <w:vAlign w:val="center"/>
          </w:tcPr>
          <w:p w14:paraId="4F692A0C">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0E841135">
            <w:pPr>
              <w:rPr>
                <w:rFonts w:hint="default" w:ascii="Times New Roman" w:hAnsi="Times New Roman" w:eastAsia="仿宋" w:cs="Times New Roman"/>
                <w:color w:val="000000"/>
                <w:kern w:val="2"/>
                <w:sz w:val="21"/>
                <w:szCs w:val="21"/>
                <w:lang w:val="en-US" w:eastAsia="zh-CN" w:bidi="ar-SA"/>
              </w:rPr>
            </w:pPr>
            <w:r>
              <w:rPr>
                <w:rFonts w:hint="eastAsia" w:ascii="Times New Roman" w:hAnsi="Times New Roman" w:eastAsia="仿宋" w:cs="Times New Roman"/>
                <w:color w:val="000000"/>
                <w:szCs w:val="21"/>
                <w:lang w:val="en-US" w:eastAsia="zh-CN"/>
              </w:rPr>
              <w:t>计划工期</w:t>
            </w:r>
          </w:p>
        </w:tc>
        <w:tc>
          <w:tcPr>
            <w:tcW w:w="6450" w:type="dxa"/>
            <w:tcBorders>
              <w:top w:val="single" w:color="auto" w:sz="4" w:space="0"/>
              <w:left w:val="single" w:color="auto" w:sz="4" w:space="0"/>
              <w:bottom w:val="single" w:color="auto" w:sz="4" w:space="0"/>
              <w:right w:val="single" w:color="auto" w:sz="4" w:space="0"/>
            </w:tcBorders>
            <w:vAlign w:val="center"/>
          </w:tcPr>
          <w:p w14:paraId="488F8EFF">
            <w:pPr>
              <w:rPr>
                <w:rFonts w:hint="eastAsia" w:ascii="Times New Roman" w:hAnsi="Times New Roman" w:eastAsia="仿宋" w:cs="Times New Roman"/>
                <w:color w:val="000000"/>
                <w:kern w:val="2"/>
                <w:sz w:val="21"/>
                <w:szCs w:val="21"/>
                <w:u w:val="single"/>
                <w:lang w:val="en-US" w:eastAsia="zh-CN" w:bidi="ar-SA"/>
              </w:rPr>
            </w:pPr>
            <w:r>
              <w:rPr>
                <w:rFonts w:hint="eastAsia" w:ascii="Times New Roman" w:hAnsi="Times New Roman" w:eastAsia="仿宋" w:cs="Times New Roman"/>
                <w:color w:val="000000"/>
                <w:szCs w:val="21"/>
                <w:lang w:val="en-US" w:eastAsia="zh-CN"/>
              </w:rPr>
              <w:t>总工期：</w:t>
            </w:r>
            <w:r>
              <w:rPr>
                <w:rFonts w:hint="eastAsia" w:eastAsia="仿宋" w:cs="Times New Roman"/>
                <w:color w:val="000000"/>
                <w:szCs w:val="21"/>
                <w:lang w:val="en-US" w:eastAsia="zh-CN"/>
              </w:rPr>
              <w:t>暂定</w:t>
            </w:r>
            <w:r>
              <w:rPr>
                <w:rFonts w:hint="eastAsia" w:ascii="Times New Roman" w:hAnsi="Times New Roman" w:eastAsia="仿宋" w:cs="Times New Roman"/>
                <w:color w:val="000000"/>
                <w:szCs w:val="21"/>
                <w:u w:val="single"/>
                <w:lang w:val="en-US" w:eastAsia="zh-CN"/>
              </w:rPr>
              <w:t xml:space="preserve">  </w:t>
            </w:r>
            <w:r>
              <w:rPr>
                <w:rFonts w:hint="eastAsia" w:eastAsia="仿宋" w:cs="Times New Roman"/>
                <w:color w:val="000000"/>
                <w:szCs w:val="21"/>
                <w:u w:val="single"/>
                <w:lang w:val="en-US" w:eastAsia="zh-CN"/>
              </w:rPr>
              <w:t xml:space="preserve"> </w:t>
            </w:r>
            <w:r>
              <w:rPr>
                <w:rFonts w:hint="eastAsia" w:ascii="Times New Roman" w:hAnsi="Times New Roman" w:eastAsia="仿宋" w:cs="Times New Roman"/>
                <w:color w:val="000000"/>
                <w:szCs w:val="21"/>
                <w:u w:val="single"/>
                <w:lang w:val="en-US" w:eastAsia="zh-CN"/>
              </w:rPr>
              <w:t xml:space="preserve">   </w:t>
            </w:r>
            <w:r>
              <w:rPr>
                <w:rFonts w:hint="eastAsia" w:ascii="Times New Roman" w:hAnsi="Times New Roman" w:eastAsia="仿宋" w:cs="Times New Roman"/>
                <w:color w:val="000000"/>
                <w:szCs w:val="21"/>
                <w:u w:val="none"/>
                <w:lang w:val="en-US" w:eastAsia="zh-CN"/>
              </w:rPr>
              <w:t>日历天</w:t>
            </w:r>
          </w:p>
        </w:tc>
      </w:tr>
      <w:tr w14:paraId="60C08D03">
        <w:tblPrEx>
          <w:tblCellMar>
            <w:top w:w="0" w:type="dxa"/>
            <w:left w:w="108" w:type="dxa"/>
            <w:bottom w:w="0" w:type="dxa"/>
            <w:right w:w="108" w:type="dxa"/>
          </w:tblCellMar>
        </w:tblPrEx>
        <w:trPr>
          <w:trHeight w:val="454" w:hRule="atLeast"/>
        </w:trPr>
        <w:tc>
          <w:tcPr>
            <w:tcW w:w="930" w:type="dxa"/>
            <w:tcBorders>
              <w:top w:val="single" w:color="auto" w:sz="4" w:space="0"/>
              <w:left w:val="single" w:color="auto" w:sz="4" w:space="0"/>
              <w:bottom w:val="single" w:color="auto" w:sz="4" w:space="0"/>
              <w:right w:val="single" w:color="auto" w:sz="4" w:space="0"/>
            </w:tcBorders>
            <w:vAlign w:val="center"/>
          </w:tcPr>
          <w:p w14:paraId="6D7B3284">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1C2C2C0D">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工程量清单</w:t>
            </w:r>
          </w:p>
        </w:tc>
        <w:tc>
          <w:tcPr>
            <w:tcW w:w="6450" w:type="dxa"/>
            <w:tcBorders>
              <w:top w:val="single" w:color="auto" w:sz="4" w:space="0"/>
              <w:left w:val="single" w:color="auto" w:sz="4" w:space="0"/>
              <w:bottom w:val="single" w:color="auto" w:sz="4" w:space="0"/>
              <w:right w:val="single" w:color="auto" w:sz="4" w:space="0"/>
            </w:tcBorders>
            <w:vAlign w:val="center"/>
          </w:tcPr>
          <w:p w14:paraId="2E1FC212">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详见报价清单</w:t>
            </w:r>
          </w:p>
        </w:tc>
      </w:tr>
      <w:tr w14:paraId="54EDEA59">
        <w:tblPrEx>
          <w:tblCellMar>
            <w:top w:w="0" w:type="dxa"/>
            <w:left w:w="108" w:type="dxa"/>
            <w:bottom w:w="0" w:type="dxa"/>
            <w:right w:w="108" w:type="dxa"/>
          </w:tblCellMar>
        </w:tblPrEx>
        <w:trPr>
          <w:trHeight w:val="454" w:hRule="atLeast"/>
        </w:trPr>
        <w:tc>
          <w:tcPr>
            <w:tcW w:w="930" w:type="dxa"/>
            <w:tcBorders>
              <w:top w:val="single" w:color="auto" w:sz="4" w:space="0"/>
              <w:left w:val="single" w:color="auto" w:sz="4" w:space="0"/>
              <w:bottom w:val="single" w:color="auto" w:sz="4" w:space="0"/>
              <w:right w:val="single" w:color="auto" w:sz="4" w:space="0"/>
            </w:tcBorders>
            <w:vAlign w:val="center"/>
          </w:tcPr>
          <w:p w14:paraId="080DFFC7">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74F76090">
            <w:pP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履约保证金</w:t>
            </w:r>
          </w:p>
        </w:tc>
        <w:tc>
          <w:tcPr>
            <w:tcW w:w="6450" w:type="dxa"/>
            <w:tcBorders>
              <w:top w:val="single" w:color="auto" w:sz="4" w:space="0"/>
              <w:left w:val="single" w:color="auto" w:sz="4" w:space="0"/>
              <w:bottom w:val="single" w:color="auto" w:sz="4" w:space="0"/>
              <w:right w:val="single" w:color="auto" w:sz="4" w:space="0"/>
            </w:tcBorders>
            <w:vAlign w:val="center"/>
          </w:tcPr>
          <w:p w14:paraId="0F9AD6EE">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中标人收到中标通知后三日内须缴纳履约保证</w:t>
            </w:r>
            <w:r>
              <w:rPr>
                <w:rFonts w:hint="default" w:ascii="Times New Roman" w:hAnsi="Times New Roman" w:eastAsia="仿宋" w:cs="Times New Roman"/>
                <w:color w:val="auto"/>
                <w:lang w:val="en-US" w:eastAsia="zh-CN"/>
              </w:rPr>
              <w:t>金</w:t>
            </w:r>
            <w:r>
              <w:rPr>
                <w:rFonts w:hint="eastAsia" w:eastAsia="仿宋" w:cs="Times New Roman"/>
                <w:color w:val="auto"/>
                <w:u w:val="single"/>
                <w:lang w:val="en-US" w:eastAsia="zh-CN"/>
              </w:rPr>
              <w:t>壹万元</w:t>
            </w:r>
            <w:r>
              <w:rPr>
                <w:rFonts w:hint="default" w:ascii="Times New Roman" w:hAnsi="Times New Roman" w:eastAsia="仿宋" w:cs="Times New Roman"/>
                <w:lang w:val="en-US" w:eastAsia="zh-CN"/>
              </w:rPr>
              <w:t>，不按照招标文件缴纳履约保证金的，甲方有权取消其中标资格，投标保证金不予退还；</w:t>
            </w:r>
          </w:p>
        </w:tc>
      </w:tr>
      <w:tr w14:paraId="634849C5">
        <w:tblPrEx>
          <w:tblCellMar>
            <w:top w:w="0" w:type="dxa"/>
            <w:left w:w="108" w:type="dxa"/>
            <w:bottom w:w="0" w:type="dxa"/>
            <w:right w:w="108" w:type="dxa"/>
          </w:tblCellMar>
        </w:tblPrEx>
        <w:trPr>
          <w:trHeight w:val="454" w:hRule="atLeast"/>
        </w:trPr>
        <w:tc>
          <w:tcPr>
            <w:tcW w:w="930" w:type="dxa"/>
            <w:tcBorders>
              <w:top w:val="single" w:color="auto" w:sz="4" w:space="0"/>
              <w:left w:val="single" w:color="auto" w:sz="4" w:space="0"/>
              <w:bottom w:val="single" w:color="auto" w:sz="4" w:space="0"/>
              <w:right w:val="single" w:color="auto" w:sz="4" w:space="0"/>
            </w:tcBorders>
            <w:vAlign w:val="center"/>
          </w:tcPr>
          <w:p w14:paraId="6BF91663">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5657125F">
            <w:pPr>
              <w:rPr>
                <w:rFonts w:hint="eastAsia" w:ascii="Times New Roman" w:hAnsi="Times New Roman" w:eastAsia="仿宋" w:cs="Times New Roman"/>
                <w:color w:val="000000"/>
                <w:kern w:val="2"/>
                <w:sz w:val="21"/>
                <w:szCs w:val="21"/>
                <w:lang w:val="en-US" w:eastAsia="zh-CN" w:bidi="ar-SA"/>
              </w:rPr>
            </w:pPr>
            <w:r>
              <w:rPr>
                <w:rFonts w:hint="default" w:ascii="Times New Roman" w:hAnsi="Times New Roman" w:eastAsia="仿宋" w:cs="Times New Roman"/>
              </w:rPr>
              <w:t>质量标准</w:t>
            </w:r>
          </w:p>
        </w:tc>
        <w:tc>
          <w:tcPr>
            <w:tcW w:w="6450" w:type="dxa"/>
            <w:tcBorders>
              <w:top w:val="single" w:color="auto" w:sz="4" w:space="0"/>
              <w:left w:val="single" w:color="auto" w:sz="4" w:space="0"/>
              <w:bottom w:val="single" w:color="auto" w:sz="4" w:space="0"/>
              <w:right w:val="single" w:color="auto" w:sz="4" w:space="0"/>
            </w:tcBorders>
            <w:vAlign w:val="center"/>
          </w:tcPr>
          <w:p w14:paraId="5F0F3A4D">
            <w:pPr>
              <w:rPr>
                <w:rFonts w:hint="eastAsia" w:ascii="Times New Roman" w:hAnsi="Times New Roman" w:eastAsia="仿宋" w:cs="Times New Roman"/>
                <w:color w:val="000000"/>
                <w:kern w:val="2"/>
                <w:sz w:val="21"/>
                <w:szCs w:val="21"/>
                <w:lang w:val="en-US" w:eastAsia="zh-CN" w:bidi="ar-SA"/>
              </w:rPr>
            </w:pPr>
            <w:r>
              <w:rPr>
                <w:rFonts w:hint="eastAsia" w:ascii="Times New Roman" w:hAnsi="Times New Roman" w:eastAsia="仿宋" w:cs="Times New Roman"/>
                <w:color w:val="000000"/>
                <w:szCs w:val="21"/>
                <w:lang w:val="en-US" w:eastAsia="zh-CN"/>
              </w:rPr>
              <w:t>达到国家工程施工质量</w:t>
            </w:r>
            <w:r>
              <w:rPr>
                <w:rFonts w:hint="eastAsia" w:ascii="Times New Roman" w:hAnsi="Times New Roman" w:eastAsia="仿宋" w:cs="Times New Roman"/>
                <w:color w:val="000000"/>
                <w:szCs w:val="21"/>
                <w:u w:val="single"/>
                <w:lang w:val="en-US" w:eastAsia="zh-CN"/>
              </w:rPr>
              <w:t xml:space="preserve">  合格  </w:t>
            </w:r>
            <w:r>
              <w:rPr>
                <w:rFonts w:hint="eastAsia" w:ascii="Times New Roman" w:hAnsi="Times New Roman" w:eastAsia="仿宋" w:cs="Times New Roman"/>
                <w:color w:val="000000"/>
                <w:szCs w:val="21"/>
                <w:lang w:val="en-US" w:eastAsia="zh-CN"/>
              </w:rPr>
              <w:t>验收标准，并符合招标人企业标准。</w:t>
            </w:r>
          </w:p>
        </w:tc>
      </w:tr>
      <w:tr w14:paraId="00CFD972">
        <w:tblPrEx>
          <w:tblCellMar>
            <w:top w:w="0" w:type="dxa"/>
            <w:left w:w="108" w:type="dxa"/>
            <w:bottom w:w="0" w:type="dxa"/>
            <w:right w:w="108" w:type="dxa"/>
          </w:tblCellMar>
        </w:tblPrEx>
        <w:trPr>
          <w:trHeight w:val="90" w:hRule="atLeast"/>
        </w:trPr>
        <w:tc>
          <w:tcPr>
            <w:tcW w:w="930" w:type="dxa"/>
            <w:tcBorders>
              <w:top w:val="single" w:color="auto" w:sz="4" w:space="0"/>
              <w:left w:val="single" w:color="auto" w:sz="4" w:space="0"/>
              <w:bottom w:val="single" w:color="auto" w:sz="4" w:space="0"/>
              <w:right w:val="single" w:color="auto" w:sz="4" w:space="0"/>
            </w:tcBorders>
            <w:vAlign w:val="center"/>
          </w:tcPr>
          <w:p w14:paraId="04E4254B">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48BAC920">
            <w:pPr>
              <w:rPr>
                <w:rFonts w:hint="default" w:ascii="Times New Roman" w:hAnsi="Times New Roman" w:eastAsia="仿宋" w:cs="Times New Roman"/>
                <w:color w:val="000000"/>
                <w:kern w:val="2"/>
                <w:sz w:val="21"/>
                <w:szCs w:val="21"/>
                <w:lang w:val="en-US" w:eastAsia="zh-CN" w:bidi="ar-SA"/>
              </w:rPr>
            </w:pPr>
            <w:r>
              <w:rPr>
                <w:rFonts w:hint="default" w:ascii="Times New Roman" w:hAnsi="Times New Roman" w:eastAsia="仿宋" w:cs="Times New Roman"/>
                <w:color w:val="000000"/>
                <w:szCs w:val="21"/>
              </w:rPr>
              <w:t>安全文明施工</w:t>
            </w:r>
          </w:p>
        </w:tc>
        <w:tc>
          <w:tcPr>
            <w:tcW w:w="6450" w:type="dxa"/>
            <w:tcBorders>
              <w:top w:val="single" w:color="auto" w:sz="4" w:space="0"/>
              <w:left w:val="single" w:color="auto" w:sz="4" w:space="0"/>
              <w:bottom w:val="single" w:color="auto" w:sz="4" w:space="0"/>
              <w:right w:val="single" w:color="auto" w:sz="4" w:space="0"/>
            </w:tcBorders>
            <w:vAlign w:val="center"/>
          </w:tcPr>
          <w:p w14:paraId="730F051D">
            <w:pPr>
              <w:keepNext w:val="0"/>
              <w:keepLines w:val="0"/>
              <w:pageBreakBefore w:val="0"/>
              <w:widowControl w:val="0"/>
              <w:numPr>
                <w:ilvl w:val="0"/>
                <w:numId w:val="7"/>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rPr>
            </w:pPr>
            <w:r>
              <w:rPr>
                <w:rFonts w:hint="default" w:ascii="Times New Roman" w:hAnsi="Times New Roman" w:eastAsia="仿宋" w:cs="Times New Roman"/>
              </w:rPr>
              <w:t>国家及地方规范、标准</w:t>
            </w:r>
          </w:p>
          <w:p w14:paraId="5E87E706">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仿宋" w:cs="Times New Roman"/>
                <w:lang w:val="en-US"/>
              </w:rPr>
            </w:pPr>
            <w:r>
              <w:rPr>
                <w:rFonts w:hint="eastAsia" w:eastAsia="仿宋" w:cs="Times New Roman"/>
                <w:lang w:val="en-US" w:eastAsia="zh-CN"/>
              </w:rPr>
              <w:t>企业标准及项目部要求</w:t>
            </w:r>
          </w:p>
          <w:p w14:paraId="71ECF37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仿宋" w:cs="Times New Roman"/>
                <w:kern w:val="2"/>
                <w:sz w:val="21"/>
                <w:szCs w:val="24"/>
                <w:lang w:val="en-US" w:eastAsia="zh-CN" w:bidi="ar-SA"/>
              </w:rPr>
            </w:pPr>
            <w:r>
              <w:rPr>
                <w:rFonts w:hint="default" w:ascii="Times New Roman" w:hAnsi="Times New Roman" w:eastAsia="仿宋" w:cs="Times New Roman"/>
              </w:rPr>
              <w:t>说明：</w:t>
            </w:r>
            <w:r>
              <w:rPr>
                <w:rFonts w:hint="eastAsia" w:eastAsia="仿宋" w:cs="Times New Roman"/>
                <w:lang w:val="en-US" w:eastAsia="zh-CN"/>
              </w:rPr>
              <w:t>两者</w:t>
            </w:r>
            <w:r>
              <w:rPr>
                <w:rFonts w:hint="default" w:ascii="Times New Roman" w:hAnsi="Times New Roman" w:eastAsia="仿宋" w:cs="Times New Roman"/>
              </w:rPr>
              <w:t>互为补充关系，标准不一致时执行最高标准</w:t>
            </w:r>
            <w:r>
              <w:rPr>
                <w:rFonts w:hint="eastAsia" w:eastAsia="仿宋" w:cs="Times New Roman"/>
                <w:lang w:eastAsia="zh-CN"/>
              </w:rPr>
              <w:t>。</w:t>
            </w:r>
          </w:p>
        </w:tc>
      </w:tr>
      <w:tr w14:paraId="7DBBD0D8">
        <w:tblPrEx>
          <w:tblCellMar>
            <w:top w:w="0" w:type="dxa"/>
            <w:left w:w="108" w:type="dxa"/>
            <w:bottom w:w="0" w:type="dxa"/>
            <w:right w:w="108" w:type="dxa"/>
          </w:tblCellMar>
        </w:tblPrEx>
        <w:trPr>
          <w:trHeight w:val="766" w:hRule="atLeast"/>
        </w:trPr>
        <w:tc>
          <w:tcPr>
            <w:tcW w:w="930" w:type="dxa"/>
            <w:tcBorders>
              <w:top w:val="single" w:color="auto" w:sz="4" w:space="0"/>
              <w:left w:val="single" w:color="auto" w:sz="4" w:space="0"/>
              <w:bottom w:val="single" w:color="auto" w:sz="4" w:space="0"/>
              <w:right w:val="single" w:color="auto" w:sz="4" w:space="0"/>
            </w:tcBorders>
            <w:vAlign w:val="center"/>
          </w:tcPr>
          <w:p w14:paraId="5CC23270">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664E2E2E">
            <w:pPr>
              <w:rPr>
                <w:rFonts w:hint="default" w:ascii="Times New Roman" w:hAnsi="Times New Roman" w:eastAsia="仿宋" w:cs="Times New Roman"/>
              </w:rPr>
            </w:pPr>
            <w:r>
              <w:rPr>
                <w:rFonts w:hint="eastAsia" w:eastAsia="仿宋" w:cs="Times New Roman"/>
                <w:lang w:val="en-US" w:eastAsia="zh-CN"/>
              </w:rPr>
              <w:t>进度款支付方式</w:t>
            </w:r>
          </w:p>
        </w:tc>
        <w:tc>
          <w:tcPr>
            <w:tcW w:w="6450" w:type="dxa"/>
            <w:tcBorders>
              <w:top w:val="single" w:color="auto" w:sz="4" w:space="0"/>
              <w:left w:val="single" w:color="auto" w:sz="4" w:space="0"/>
              <w:bottom w:val="single" w:color="auto" w:sz="4" w:space="0"/>
              <w:right w:val="single" w:color="auto" w:sz="4" w:space="0"/>
            </w:tcBorders>
            <w:vAlign w:val="center"/>
          </w:tcPr>
          <w:p w14:paraId="67242CC6">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rPr>
            </w:pPr>
            <w:r>
              <w:rPr>
                <w:rFonts w:hint="default" w:ascii="Times New Roman" w:hAnsi="Times New Roman" w:eastAsia="仿宋" w:cs="Times New Roman"/>
              </w:rPr>
              <w:t>（1）本工程无预付款；</w:t>
            </w:r>
          </w:p>
          <w:p w14:paraId="620A1E98">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rPr>
            </w:pPr>
            <w:r>
              <w:rPr>
                <w:rFonts w:hint="default" w:ascii="Times New Roman" w:hAnsi="Times New Roman" w:eastAsia="仿宋" w:cs="Times New Roman"/>
              </w:rPr>
              <w:t>（</w:t>
            </w:r>
            <w:r>
              <w:rPr>
                <w:rFonts w:hint="eastAsia" w:eastAsia="仿宋" w:cs="Times New Roman"/>
                <w:lang w:val="en-US" w:eastAsia="zh-CN"/>
              </w:rPr>
              <w:t>2</w:t>
            </w:r>
            <w:r>
              <w:rPr>
                <w:rFonts w:hint="default" w:ascii="Times New Roman" w:hAnsi="Times New Roman" w:eastAsia="仿宋" w:cs="Times New Roman"/>
              </w:rPr>
              <w:t>）</w:t>
            </w:r>
            <w:r>
              <w:rPr>
                <w:rFonts w:hint="eastAsia" w:ascii="Times New Roman" w:hAnsi="Times New Roman" w:eastAsia="仿宋" w:cs="Times New Roman"/>
              </w:rPr>
              <w:t>工程量的计量及付款周期为月，每自然月月底前支付上自然月完成合格工程量价款的</w:t>
            </w:r>
            <w:r>
              <w:rPr>
                <w:rFonts w:hint="eastAsia" w:eastAsia="仿宋" w:cs="Times New Roman"/>
                <w:lang w:val="en-US" w:eastAsia="zh-CN"/>
              </w:rPr>
              <w:t>8</w:t>
            </w:r>
            <w:r>
              <w:rPr>
                <w:rFonts w:hint="eastAsia" w:ascii="Times New Roman" w:hAnsi="Times New Roman" w:eastAsia="仿宋" w:cs="Times New Roman"/>
              </w:rPr>
              <w:t>0%</w:t>
            </w:r>
            <w:r>
              <w:rPr>
                <w:rFonts w:hint="default" w:ascii="Times New Roman" w:hAnsi="Times New Roman" w:eastAsia="仿宋" w:cs="Times New Roman"/>
              </w:rPr>
              <w:t>；</w:t>
            </w:r>
          </w:p>
          <w:p w14:paraId="5857BE80">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lang w:val="en-US" w:eastAsia="zh-CN"/>
              </w:rPr>
            </w:pPr>
            <w:r>
              <w:rPr>
                <w:rFonts w:hint="default" w:ascii="Times New Roman" w:hAnsi="Times New Roman" w:eastAsia="仿宋" w:cs="Times New Roman"/>
              </w:rPr>
              <w:t>（</w:t>
            </w:r>
            <w:r>
              <w:rPr>
                <w:rFonts w:hint="eastAsia" w:eastAsia="仿宋" w:cs="Times New Roman"/>
                <w:lang w:val="en-US" w:eastAsia="zh-CN"/>
              </w:rPr>
              <w:t>3</w:t>
            </w:r>
            <w:r>
              <w:rPr>
                <w:rFonts w:hint="default" w:ascii="Times New Roman" w:hAnsi="Times New Roman" w:eastAsia="仿宋" w:cs="Times New Roman"/>
              </w:rPr>
              <w:t>）</w:t>
            </w:r>
            <w:r>
              <w:rPr>
                <w:rFonts w:hint="eastAsia" w:ascii="Times New Roman" w:hAnsi="Times New Roman" w:eastAsia="仿宋" w:cs="Times New Roman"/>
                <w:lang w:eastAsia="zh-CN"/>
              </w:rPr>
              <w:t>乙方承包范围内的工程全部完工付至总合格工程量价款的</w:t>
            </w:r>
            <w:r>
              <w:rPr>
                <w:rFonts w:hint="eastAsia" w:eastAsia="仿宋" w:cs="Times New Roman"/>
                <w:lang w:val="en-US" w:eastAsia="zh-CN"/>
              </w:rPr>
              <w:t>9</w:t>
            </w:r>
            <w:r>
              <w:rPr>
                <w:rFonts w:hint="eastAsia" w:ascii="Times New Roman" w:hAnsi="Times New Roman" w:eastAsia="仿宋" w:cs="Times New Roman"/>
                <w:lang w:eastAsia="zh-CN"/>
              </w:rPr>
              <w:t>0</w:t>
            </w:r>
            <w:r>
              <w:rPr>
                <w:rFonts w:hint="eastAsia" w:eastAsia="仿宋" w:cs="Times New Roman"/>
                <w:lang w:val="en-US" w:eastAsia="zh-CN"/>
              </w:rPr>
              <w:t>%</w:t>
            </w:r>
            <w:r>
              <w:rPr>
                <w:rFonts w:hint="eastAsia" w:ascii="Times New Roman" w:hAnsi="Times New Roman" w:eastAsia="仿宋" w:cs="Times New Roman"/>
                <w:lang w:val="en-US" w:eastAsia="zh-CN"/>
              </w:rPr>
              <w:t>；</w:t>
            </w:r>
          </w:p>
          <w:p w14:paraId="3F85A8EB">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lang w:eastAsia="zh-CN"/>
              </w:rPr>
              <w:t>（</w:t>
            </w:r>
            <w:r>
              <w:rPr>
                <w:rFonts w:hint="eastAsia" w:eastAsia="仿宋" w:cs="Times New Roman"/>
                <w:lang w:val="en-US" w:eastAsia="zh-CN"/>
              </w:rPr>
              <w:t>4</w:t>
            </w:r>
            <w:r>
              <w:rPr>
                <w:rFonts w:hint="eastAsia" w:ascii="Times New Roman" w:hAnsi="Times New Roman" w:eastAsia="仿宋" w:cs="Times New Roman"/>
                <w:lang w:eastAsia="zh-CN"/>
              </w:rPr>
              <w:t>）</w:t>
            </w:r>
            <w:r>
              <w:rPr>
                <w:rFonts w:hint="default" w:ascii="Times New Roman" w:hAnsi="Times New Roman" w:eastAsia="仿宋" w:cs="Times New Roman"/>
              </w:rPr>
              <w:t>结算完成后付至结算总价的9</w:t>
            </w:r>
            <w:r>
              <w:rPr>
                <w:rFonts w:hint="eastAsia" w:eastAsia="仿宋" w:cs="Times New Roman"/>
                <w:lang w:val="en-US" w:eastAsia="zh-CN"/>
              </w:rPr>
              <w:t>7</w:t>
            </w:r>
            <w:r>
              <w:rPr>
                <w:rFonts w:hint="default" w:ascii="Times New Roman" w:hAnsi="Times New Roman" w:eastAsia="仿宋" w:cs="Times New Roman"/>
              </w:rPr>
              <w:t>%，保留</w:t>
            </w:r>
            <w:r>
              <w:rPr>
                <w:rFonts w:hint="eastAsia" w:ascii="Times New Roman" w:hAnsi="Times New Roman" w:eastAsia="仿宋" w:cs="Times New Roman"/>
                <w:lang w:val="en-US" w:eastAsia="zh-CN"/>
              </w:rPr>
              <w:t>结算</w:t>
            </w:r>
            <w:r>
              <w:rPr>
                <w:rFonts w:hint="default" w:ascii="Times New Roman" w:hAnsi="Times New Roman" w:eastAsia="仿宋" w:cs="Times New Roman"/>
              </w:rPr>
              <w:t>总价的</w:t>
            </w:r>
            <w:r>
              <w:rPr>
                <w:rFonts w:hint="eastAsia" w:eastAsia="仿宋" w:cs="Times New Roman"/>
                <w:lang w:val="en-US" w:eastAsia="zh-CN"/>
              </w:rPr>
              <w:t>3</w:t>
            </w:r>
            <w:r>
              <w:rPr>
                <w:rFonts w:hint="default" w:ascii="Times New Roman" w:hAnsi="Times New Roman" w:eastAsia="仿宋" w:cs="Times New Roman"/>
              </w:rPr>
              <w:t>%作为质保金。</w:t>
            </w:r>
            <w:r>
              <w:rPr>
                <w:rFonts w:hint="eastAsia" w:ascii="Times New Roman" w:hAnsi="Times New Roman" w:eastAsia="仿宋" w:cs="Times New Roman"/>
                <w:lang w:eastAsia="zh-CN"/>
              </w:rPr>
              <w:t>两年后无质量问题扣除相关费用后一个月内付清，质保金不计算利息。</w:t>
            </w:r>
          </w:p>
        </w:tc>
      </w:tr>
      <w:tr w14:paraId="69A81315">
        <w:tblPrEx>
          <w:tblCellMar>
            <w:top w:w="0" w:type="dxa"/>
            <w:left w:w="108" w:type="dxa"/>
            <w:bottom w:w="0" w:type="dxa"/>
            <w:right w:w="108" w:type="dxa"/>
          </w:tblCellMar>
        </w:tblPrEx>
        <w:trPr>
          <w:trHeight w:val="5982" w:hRule="atLeast"/>
        </w:trPr>
        <w:tc>
          <w:tcPr>
            <w:tcW w:w="930" w:type="dxa"/>
            <w:tcBorders>
              <w:top w:val="single" w:color="auto" w:sz="4" w:space="0"/>
              <w:left w:val="single" w:color="auto" w:sz="4" w:space="0"/>
              <w:bottom w:val="single" w:color="auto" w:sz="4" w:space="0"/>
              <w:right w:val="single" w:color="auto" w:sz="4" w:space="0"/>
            </w:tcBorders>
            <w:vAlign w:val="center"/>
          </w:tcPr>
          <w:p w14:paraId="687676E2">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4C8E05AF">
            <w:pPr>
              <w:rPr>
                <w:rFonts w:hint="default" w:ascii="Times New Roman" w:hAnsi="Times New Roman" w:eastAsia="仿宋" w:cs="Times New Roman"/>
              </w:rPr>
            </w:pPr>
            <w:r>
              <w:rPr>
                <w:rFonts w:hint="eastAsia" w:ascii="Times New Roman" w:hAnsi="Times New Roman" w:eastAsia="仿宋" w:cs="Times New Roman"/>
                <w:color w:val="000000"/>
                <w:szCs w:val="21"/>
                <w:lang w:val="en-US" w:eastAsia="zh-CN"/>
              </w:rPr>
              <w:t>计量规则</w:t>
            </w:r>
          </w:p>
        </w:tc>
        <w:tc>
          <w:tcPr>
            <w:tcW w:w="6450" w:type="dxa"/>
            <w:tcBorders>
              <w:top w:val="single" w:color="auto" w:sz="4" w:space="0"/>
              <w:left w:val="single" w:color="auto" w:sz="4" w:space="0"/>
              <w:bottom w:val="single" w:color="auto" w:sz="4" w:space="0"/>
              <w:right w:val="single" w:color="auto" w:sz="4" w:space="0"/>
            </w:tcBorders>
            <w:vAlign w:val="center"/>
          </w:tcPr>
          <w:p w14:paraId="674EF322">
            <w:pPr>
              <w:autoSpaceDE w:val="0"/>
              <w:autoSpaceDN w:val="0"/>
              <w:adjustRightInd w:val="0"/>
              <w:spacing w:line="240" w:lineRule="auto"/>
              <w:ind w:firstLine="420" w:firstLineChars="200"/>
              <w:jc w:val="left"/>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1、工程量的确定：①以设计施工图纸数量为上限，依据乙方实际完成并经甲方公司、建设单位及其委托的第三方验收合格的工程量为准；②室外部分按照图示建筑尺寸计算；③室内部分水平尺寸扣除粉刷层、结合层；竖向尺寸须扣除找平层、保护层、结合层厚度，天棚有吊顶时高度按可视高度计算；设计门窗洞口侧壁按实计量；④踢脚线按照结构尺寸计算长度，水平尺寸扣除粉刷层、结合层；⑤墙地面中0.3m2以内的孔洞、设备基础、蹲坑不予扣减。</w:t>
            </w:r>
          </w:p>
          <w:p w14:paraId="0AFAB657">
            <w:pPr>
              <w:autoSpaceDE w:val="0"/>
              <w:autoSpaceDN w:val="0"/>
              <w:adjustRightInd w:val="0"/>
              <w:spacing w:line="240" w:lineRule="auto"/>
              <w:ind w:firstLine="420" w:firstLineChars="200"/>
              <w:jc w:val="left"/>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2、结算办法：乙方承包范围内工程全部完工且经甲方验收合格后，以双方共同认可的结算工程量作为计量数量，以合同「含补充协议」固定综合单价作为计价依据，结算公式为：结算价=∑结算工程量×合同单价+固定总价补充协议金额+签证-未施工项-商业保险费-超标生活水电费、管理罚款、保洁费、第三方代工费用及其他情形的扣减费用；</w:t>
            </w:r>
          </w:p>
          <w:p w14:paraId="7127F848">
            <w:pPr>
              <w:autoSpaceDE w:val="0"/>
              <w:autoSpaceDN w:val="0"/>
              <w:adjustRightInd w:val="0"/>
              <w:spacing w:line="240" w:lineRule="auto"/>
              <w:ind w:firstLine="420" w:firstLineChars="200"/>
              <w:jc w:val="left"/>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3、甲方有权取消部分做法</w:t>
            </w:r>
            <w:r>
              <w:rPr>
                <w:rFonts w:hint="eastAsia" w:eastAsia="仿宋" w:cs="Times New Roman"/>
                <w:lang w:val="en-US" w:eastAsia="zh-CN"/>
              </w:rPr>
              <w:t>及工程量</w:t>
            </w:r>
            <w:r>
              <w:rPr>
                <w:rFonts w:hint="default" w:ascii="Times New Roman" w:hAnsi="Times New Roman" w:eastAsia="仿宋" w:cs="Times New Roman"/>
                <w:lang w:val="en-US" w:eastAsia="zh-CN"/>
              </w:rPr>
              <w:t>，结算工程量按实际验收合格工程量计算。工程量为暂定工程量，投标人综合考虑，施工中工程量增减不予进行调价。</w:t>
            </w:r>
          </w:p>
        </w:tc>
      </w:tr>
      <w:tr w14:paraId="29117070">
        <w:tblPrEx>
          <w:tblCellMar>
            <w:top w:w="0" w:type="dxa"/>
            <w:left w:w="108" w:type="dxa"/>
            <w:bottom w:w="0" w:type="dxa"/>
            <w:right w:w="108" w:type="dxa"/>
          </w:tblCellMar>
        </w:tblPrEx>
        <w:trPr>
          <w:trHeight w:val="4818" w:hRule="atLeast"/>
        </w:trPr>
        <w:tc>
          <w:tcPr>
            <w:tcW w:w="930" w:type="dxa"/>
            <w:tcBorders>
              <w:top w:val="single" w:color="auto" w:sz="4" w:space="0"/>
              <w:left w:val="single" w:color="auto" w:sz="4" w:space="0"/>
              <w:bottom w:val="single" w:color="auto" w:sz="4" w:space="0"/>
              <w:right w:val="single" w:color="auto" w:sz="4" w:space="0"/>
            </w:tcBorders>
            <w:vAlign w:val="center"/>
          </w:tcPr>
          <w:p w14:paraId="0A3C4EE0">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0C691A15">
            <w:pPr>
              <w:rPr>
                <w:rFonts w:hint="default" w:ascii="Times New Roman" w:hAnsi="Times New Roman" w:eastAsia="仿宋" w:cs="Times New Roman"/>
                <w:b/>
                <w:bCs/>
                <w:color w:val="000000"/>
                <w:szCs w:val="21"/>
                <w:lang w:val="en-US" w:eastAsia="zh-CN"/>
              </w:rPr>
            </w:pPr>
            <w:r>
              <w:rPr>
                <w:rFonts w:hint="default" w:ascii="Times New Roman" w:hAnsi="Times New Roman" w:eastAsia="仿宋" w:cs="Times New Roman"/>
                <w:b/>
                <w:bCs/>
                <w:color w:val="000000"/>
                <w:szCs w:val="21"/>
                <w:lang w:val="en-US" w:eastAsia="zh-CN"/>
              </w:rPr>
              <w:t>特别约定</w:t>
            </w:r>
          </w:p>
        </w:tc>
        <w:tc>
          <w:tcPr>
            <w:tcW w:w="6450" w:type="dxa"/>
            <w:tcBorders>
              <w:top w:val="single" w:color="auto" w:sz="4" w:space="0"/>
              <w:left w:val="single" w:color="auto" w:sz="4" w:space="0"/>
              <w:bottom w:val="single" w:color="auto" w:sz="4" w:space="0"/>
              <w:right w:val="single" w:color="auto" w:sz="4" w:space="0"/>
            </w:tcBorders>
            <w:vAlign w:val="center"/>
          </w:tcPr>
          <w:p w14:paraId="1E209AEC">
            <w:pPr>
              <w:keepNext w:val="0"/>
              <w:keepLines w:val="0"/>
              <w:pageBreakBefore w:val="0"/>
              <w:widowControl w:val="0"/>
              <w:numPr>
                <w:ilvl w:val="0"/>
                <w:numId w:val="8"/>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lang w:val="en-US" w:eastAsia="zh-CN"/>
              </w:rPr>
            </w:pPr>
            <w:r>
              <w:rPr>
                <w:rFonts w:hint="default" w:ascii="Times New Roman" w:hAnsi="Times New Roman" w:eastAsia="仿宋" w:cs="Times New Roman"/>
                <w:b/>
                <w:bCs/>
                <w:lang w:val="en-US" w:eastAsia="zh-CN"/>
              </w:rPr>
              <w:t>协议书或通用条款中约定内容与本章特别约定互为补充，当出现相背离、相抵触之内容时以本章特别约定为准</w:t>
            </w:r>
            <w:r>
              <w:rPr>
                <w:rFonts w:hint="default" w:ascii="Times New Roman" w:hAnsi="Times New Roman" w:eastAsia="仿宋" w:cs="Times New Roman"/>
                <w:lang w:val="en-US" w:eastAsia="zh-CN"/>
              </w:rPr>
              <w:t>。</w:t>
            </w:r>
          </w:p>
          <w:p w14:paraId="4D77146F">
            <w:pPr>
              <w:pStyle w:val="7"/>
              <w:keepNext w:val="0"/>
              <w:keepLines w:val="0"/>
              <w:widowControl/>
              <w:suppressLineNumbers w:val="0"/>
              <w:ind w:left="0" w:firstLine="0"/>
              <w:rPr>
                <w:rFonts w:hint="default" w:ascii="Times New Roman" w:hAnsi="Times New Roman" w:eastAsia="仿宋" w:cs="Times New Roman"/>
                <w:b/>
                <w:bCs/>
                <w:kern w:val="2"/>
                <w:sz w:val="21"/>
                <w:szCs w:val="24"/>
                <w:lang w:val="en-US" w:eastAsia="zh-CN" w:bidi="ar-SA"/>
              </w:rPr>
            </w:pPr>
            <w:r>
              <w:rPr>
                <w:rFonts w:hint="eastAsia" w:eastAsia="仿宋" w:cs="Times New Roman"/>
                <w:b/>
                <w:bCs/>
                <w:kern w:val="2"/>
                <w:sz w:val="21"/>
                <w:szCs w:val="24"/>
                <w:lang w:val="en-US" w:eastAsia="zh-CN" w:bidi="ar-SA"/>
              </w:rPr>
              <w:t>2、</w:t>
            </w:r>
            <w:r>
              <w:rPr>
                <w:rFonts w:hint="eastAsia" w:ascii="Times New Roman" w:hAnsi="Times New Roman" w:eastAsia="仿宋" w:cs="Times New Roman"/>
                <w:b/>
                <w:bCs/>
                <w:kern w:val="2"/>
                <w:sz w:val="21"/>
                <w:szCs w:val="24"/>
                <w:lang w:val="en-US" w:eastAsia="zh-CN" w:bidi="ar-SA"/>
              </w:rPr>
              <w:t>乙方对本合同中的承包范围、承包方式、措施项目等各种条款各种工作已熟悉、清楚，尤其是承包范围的工作项，乙方已清楚同意；甲方不组织现场勘察，各投标单位自行安排，无论投标单位是否踏勘现场，招标单位均认为投标单位在投标报价时已经充分了解现场所有情况，招标单位不为此承担任何责任。</w:t>
            </w:r>
          </w:p>
          <w:p w14:paraId="57BB6A11">
            <w:pPr>
              <w:pStyle w:val="7"/>
              <w:keepNext w:val="0"/>
              <w:keepLines w:val="0"/>
              <w:widowControl/>
              <w:suppressLineNumbers w:val="0"/>
              <w:ind w:left="0" w:firstLine="0"/>
              <w:rPr>
                <w:rFonts w:hint="default" w:ascii="Times New Roman" w:hAnsi="Times New Roman" w:eastAsia="仿宋" w:cs="Times New Roman"/>
                <w:lang w:val="en-US" w:eastAsia="zh-CN"/>
              </w:rPr>
            </w:pPr>
            <w:r>
              <w:rPr>
                <w:rFonts w:hint="eastAsia" w:eastAsia="仿宋" w:cs="Times New Roman"/>
                <w:b/>
                <w:bCs/>
                <w:kern w:val="2"/>
                <w:sz w:val="21"/>
                <w:szCs w:val="24"/>
                <w:lang w:val="en-US" w:eastAsia="zh-CN" w:bidi="ar-SA"/>
              </w:rPr>
              <w:t>3</w:t>
            </w:r>
            <w:r>
              <w:rPr>
                <w:rFonts w:hint="eastAsia" w:ascii="Times New Roman" w:hAnsi="Times New Roman" w:eastAsia="仿宋" w:cs="Times New Roman"/>
                <w:b/>
                <w:bCs/>
                <w:kern w:val="2"/>
                <w:sz w:val="21"/>
                <w:szCs w:val="24"/>
                <w:lang w:val="en-US" w:eastAsia="zh-CN" w:bidi="ar-SA"/>
              </w:rPr>
              <w:t>、项目报价清单详见附件</w:t>
            </w:r>
            <w:r>
              <w:rPr>
                <w:rFonts w:hint="eastAsia" w:eastAsia="仿宋" w:cs="Times New Roman"/>
                <w:b/>
                <w:bCs/>
                <w:kern w:val="2"/>
                <w:sz w:val="21"/>
                <w:szCs w:val="24"/>
                <w:lang w:val="en-US" w:eastAsia="zh-CN" w:bidi="ar-SA"/>
              </w:rPr>
              <w:t>，</w:t>
            </w:r>
            <w:r>
              <w:rPr>
                <w:rFonts w:hint="eastAsia" w:ascii="Times New Roman" w:hAnsi="Times New Roman" w:eastAsia="仿宋" w:cs="Times New Roman"/>
                <w:b/>
                <w:bCs/>
                <w:kern w:val="2"/>
                <w:sz w:val="21"/>
                <w:szCs w:val="24"/>
                <w:lang w:val="en-US" w:eastAsia="zh-CN" w:bidi="ar-SA"/>
              </w:rPr>
              <w:t>乙方进场后三日提供排版图，经过甲方确认后方可施工。施工损耗扣除排版损耗后不得超过</w:t>
            </w:r>
            <w:r>
              <w:rPr>
                <w:rFonts w:hint="eastAsia" w:eastAsia="仿宋" w:cs="Times New Roman"/>
                <w:b/>
                <w:bCs/>
                <w:kern w:val="2"/>
                <w:sz w:val="21"/>
                <w:szCs w:val="24"/>
                <w:lang w:val="en-US" w:eastAsia="zh-CN" w:bidi="ar-SA"/>
              </w:rPr>
              <w:t>3</w:t>
            </w:r>
            <w:r>
              <w:rPr>
                <w:rFonts w:hint="eastAsia" w:ascii="Times New Roman" w:hAnsi="Times New Roman" w:eastAsia="仿宋" w:cs="Times New Roman"/>
                <w:b/>
                <w:bCs/>
                <w:kern w:val="2"/>
                <w:sz w:val="21"/>
                <w:szCs w:val="24"/>
                <w:lang w:val="en-US" w:eastAsia="zh-CN" w:bidi="ar-SA"/>
              </w:rPr>
              <w:t>%。墙地砖倒角、直切、倒边、踢脚线磨圆角、拼花、踢脚线块料切割等二次加工费用包含综合单价中。墙砖上墙需要刷背胶，含在综合单价中，不另计费。成品保护包含综合单价中。施工用水电甲方免费提供。墙地砖铺贴砂浆采用自拌，不另计费。</w:t>
            </w:r>
          </w:p>
        </w:tc>
      </w:tr>
    </w:tbl>
    <w:p w14:paraId="06E31293">
      <w:pPr>
        <w:pStyle w:val="14"/>
        <w:numPr>
          <w:ilvl w:val="0"/>
          <w:numId w:val="0"/>
        </w:numPr>
        <w:spacing w:line="360" w:lineRule="auto"/>
        <w:ind w:leftChars="0" w:firstLine="420" w:firstLineChars="200"/>
        <w:jc w:val="both"/>
        <w:rPr>
          <w:rFonts w:hint="eastAsia" w:ascii="仿宋" w:hAnsi="仿宋" w:eastAsia="仿宋" w:cs="仿宋"/>
          <w:sz w:val="21"/>
          <w:szCs w:val="21"/>
          <w:lang w:val="en-US" w:eastAsia="zh-CN"/>
        </w:rPr>
      </w:pPr>
    </w:p>
    <w:p w14:paraId="4368798A">
      <w:pPr>
        <w:pStyle w:val="14"/>
        <w:numPr>
          <w:ilvl w:val="0"/>
          <w:numId w:val="0"/>
        </w:numPr>
        <w:spacing w:line="360" w:lineRule="auto"/>
        <w:ind w:leftChars="0" w:firstLine="420" w:firstLineChars="20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投标人</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lang w:val="en-US" w:eastAsia="zh-CN"/>
        </w:rPr>
        <w:t>完全响应、接受以上各项条款及随招标文件发出的《合同文本》等招标资料。</w:t>
      </w:r>
      <w:r>
        <w:rPr>
          <w:rFonts w:hint="eastAsia" w:ascii="仿宋" w:hAnsi="仿宋" w:eastAsia="仿宋" w:cs="仿宋"/>
          <w:sz w:val="21"/>
          <w:szCs w:val="21"/>
          <w:lang w:val="en-US" w:eastAsia="zh-CN"/>
        </w:rPr>
        <w:t xml:space="preserve">                                                         </w:t>
      </w:r>
    </w:p>
    <w:p w14:paraId="4188E18F">
      <w:pPr>
        <w:pStyle w:val="14"/>
        <w:numPr>
          <w:ilvl w:val="0"/>
          <w:numId w:val="0"/>
        </w:numPr>
        <w:spacing w:line="360" w:lineRule="auto"/>
        <w:ind w:firstLine="6090" w:firstLineChars="290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报价单位「盖章」：</w:t>
      </w:r>
    </w:p>
    <w:p w14:paraId="08FE5726">
      <w:pPr>
        <w:pStyle w:val="14"/>
        <w:numPr>
          <w:ilvl w:val="0"/>
          <w:numId w:val="0"/>
        </w:numPr>
        <w:spacing w:line="360" w:lineRule="auto"/>
        <w:ind w:leftChars="0"/>
        <w:jc w:val="both"/>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 xml:space="preserve">                                                           报 价 人「签字」：</w:t>
      </w:r>
    </w:p>
    <w:p w14:paraId="0C7A4605"/>
    <w:sectPr>
      <w:footerReference r:id="rId5" w:type="default"/>
      <w:pgSz w:w="11906" w:h="16838"/>
      <w:pgMar w:top="1667" w:right="1080" w:bottom="1327" w:left="1080"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B3845">
    <w:pPr>
      <w:pStyle w:val="5"/>
      <w:jc w:val="center"/>
      <w:rPr>
        <w:sz w:val="18"/>
      </w:rPr>
    </w:pPr>
  </w:p>
  <w:sdt>
    <w:sdtPr>
      <w:id w:val="1532690909"/>
    </w:sdtPr>
    <w:sdtContent>
      <w:p w14:paraId="596A8327">
        <w:pPr>
          <w:pStyle w:val="5"/>
          <w:jc w:val="center"/>
        </w:pPr>
      </w:p>
      <w:p w14:paraId="311D143F">
        <w:pPr>
          <w:pStyle w:val="5"/>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064">
    <w:pPr>
      <w:pStyle w:val="5"/>
      <w:jc w:val="center"/>
      <w:rPr>
        <w:sz w:val="18"/>
      </w:rPr>
    </w:pPr>
  </w:p>
  <w:p w14:paraId="2E4D7EA1">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posOffset>2872105</wp:posOffset>
              </wp:positionH>
              <wp:positionV relativeFrom="paragraph">
                <wp:posOffset>97790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9EF0C5">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6.15pt;margin-top:7.7pt;height:144pt;width:144pt;mso-position-horizontal-relative:margin;mso-wrap-style:none;z-index:251659264;mso-width-relative:page;mso-height-relative:page;" filled="f" stroked="f" coordsize="21600,21600" o:gfxdata="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VfCQPWAAAACgEAAA8AAAAAAAAAAQAgAAAAIgAAAGRycy9kb3ducmV2LnhtbFBL&#10;AQIUABQAAAAIAIdO4kAkgka0MQIAAGEEAAAOAAAAAAAAAAEAIAAAACUBAABkcnMvZTJvRG9jLnht&#10;bFBLBQYAAAAABgAGAFkBAADIBQAAAAA=&#10;">
              <v:fill on="f" focussize="0,0"/>
              <v:stroke on="f" weight="0.5pt"/>
              <v:imagedata o:title=""/>
              <o:lock v:ext="edit" aspectratio="f"/>
              <v:textbox inset="0mm,0mm,0mm,0mm" style="mso-fit-shape-to-text:t;">
                <w:txbxContent>
                  <w:p w14:paraId="569EF0C5">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14:paraId="7558B46A">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8CA0A">
    <w:pPr>
      <w:pStyle w:val="6"/>
      <w:pBdr>
        <w:bottom w:val="none" w:color="auto" w:sz="0" w:space="1"/>
      </w:pBdr>
      <w:jc w:val="right"/>
      <w:rPr>
        <w:rFonts w:hint="eastAsia"/>
        <w:lang w:val="en-US" w:eastAsia="zh-CN"/>
      </w:rPr>
    </w:pPr>
    <w:r>
      <w:rPr>
        <w:rFonts w:hint="eastAsia"/>
        <w:lang w:val="en-US" w:eastAsia="zh-CN"/>
      </w:rPr>
      <w:t xml:space="preserve">                          </w:t>
    </w:r>
  </w:p>
  <w:p w14:paraId="67C61C08">
    <w:pPr>
      <w:pStyle w:val="6"/>
      <w:pBdr>
        <w:bottom w:val="none" w:color="auto" w:sz="0" w:space="1"/>
      </w:pBdr>
      <w:jc w:val="right"/>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4D27F"/>
    <w:multiLevelType w:val="singleLevel"/>
    <w:tmpl w:val="A3C4D27F"/>
    <w:lvl w:ilvl="0" w:tentative="0">
      <w:start w:val="1"/>
      <w:numFmt w:val="decimal"/>
      <w:suff w:val="space"/>
      <w:lvlText w:val="%1."/>
      <w:lvlJc w:val="left"/>
    </w:lvl>
  </w:abstractNum>
  <w:abstractNum w:abstractNumId="1">
    <w:nsid w:val="D502C11E"/>
    <w:multiLevelType w:val="singleLevel"/>
    <w:tmpl w:val="D502C11E"/>
    <w:lvl w:ilvl="0" w:tentative="0">
      <w:start w:val="1"/>
      <w:numFmt w:val="decimal"/>
      <w:suff w:val="nothing"/>
      <w:lvlText w:val="%1、"/>
      <w:lvlJc w:val="left"/>
    </w:lvl>
  </w:abstractNum>
  <w:abstractNum w:abstractNumId="2">
    <w:nsid w:val="EF6124F9"/>
    <w:multiLevelType w:val="singleLevel"/>
    <w:tmpl w:val="EF6124F9"/>
    <w:lvl w:ilvl="0" w:tentative="0">
      <w:start w:val="1"/>
      <w:numFmt w:val="decimal"/>
      <w:suff w:val="space"/>
      <w:lvlText w:val="%1."/>
      <w:lvlJc w:val="left"/>
    </w:lvl>
  </w:abstractNum>
  <w:abstractNum w:abstractNumId="3">
    <w:nsid w:val="F3A28BED"/>
    <w:multiLevelType w:val="singleLevel"/>
    <w:tmpl w:val="F3A28BED"/>
    <w:lvl w:ilvl="0" w:tentative="0">
      <w:start w:val="1"/>
      <w:numFmt w:val="decimal"/>
      <w:suff w:val="space"/>
      <w:lvlText w:val="%1."/>
      <w:lvlJc w:val="left"/>
    </w:lvl>
  </w:abstractNum>
  <w:abstractNum w:abstractNumId="4">
    <w:nsid w:val="009625B9"/>
    <w:multiLevelType w:val="multilevel"/>
    <w:tmpl w:val="009625B9"/>
    <w:lvl w:ilvl="0" w:tentative="0">
      <w:start w:val="1"/>
      <w:numFmt w:val="decimal"/>
      <w:suff w:val="nothing"/>
      <w:lvlText w:val="1.%1"/>
      <w:lvlJc w:val="left"/>
      <w:pPr>
        <w:ind w:left="420" w:hanging="420"/>
      </w:pPr>
      <w:rPr>
        <w:rFonts w:hint="default" w:ascii="Times New Roman" w:hAnsi="Times New Roman" w:eastAsia="宋体" w:cs="Times New Roman"/>
        <w:b w:val="0"/>
        <w:i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89B1DC9"/>
    <w:multiLevelType w:val="multilevel"/>
    <w:tmpl w:val="189B1DC9"/>
    <w:lvl w:ilvl="0" w:tentative="0">
      <w:start w:val="1"/>
      <w:numFmt w:val="chineseCountingThousand"/>
      <w:suff w:val="space"/>
      <w:lvlText w:val="第%1章"/>
      <w:lvlJc w:val="center"/>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2DB18CC7"/>
    <w:multiLevelType w:val="singleLevel"/>
    <w:tmpl w:val="2DB18CC7"/>
    <w:lvl w:ilvl="0" w:tentative="0">
      <w:start w:val="1"/>
      <w:numFmt w:val="decimal"/>
      <w:suff w:val="space"/>
      <w:lvlText w:val="%1."/>
      <w:lvlJc w:val="left"/>
    </w:lvl>
  </w:abstractNum>
  <w:abstractNum w:abstractNumId="7">
    <w:nsid w:val="578F0E69"/>
    <w:multiLevelType w:val="singleLevel"/>
    <w:tmpl w:val="578F0E69"/>
    <w:lvl w:ilvl="0" w:tentative="0">
      <w:start w:val="1"/>
      <w:numFmt w:val="decimal"/>
      <w:suff w:val="space"/>
      <w:lvlText w:val="%1."/>
      <w:lvlJc w:val="left"/>
    </w:lvl>
  </w:abstractNum>
  <w:num w:numId="1">
    <w:abstractNumId w:val="5"/>
  </w:num>
  <w:num w:numId="2">
    <w:abstractNumId w:val="4"/>
  </w:num>
  <w:num w:numId="3">
    <w:abstractNumId w:val="6"/>
  </w:num>
  <w:num w:numId="4">
    <w:abstractNumId w:val="0"/>
  </w:num>
  <w:num w:numId="5">
    <w:abstractNumId w:val="7"/>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xYzdjYWIxNTIyNmU1NmY0ODZjYmIwNGVmOTIwNjMifQ=="/>
  </w:docVars>
  <w:rsids>
    <w:rsidRoot w:val="00000000"/>
    <w:rsid w:val="02247013"/>
    <w:rsid w:val="02602565"/>
    <w:rsid w:val="047C34B3"/>
    <w:rsid w:val="06497B03"/>
    <w:rsid w:val="09120680"/>
    <w:rsid w:val="09B277AB"/>
    <w:rsid w:val="0A141704"/>
    <w:rsid w:val="0FC979E2"/>
    <w:rsid w:val="10DA103D"/>
    <w:rsid w:val="11274EE5"/>
    <w:rsid w:val="125E4936"/>
    <w:rsid w:val="127A6D58"/>
    <w:rsid w:val="12DF1F59"/>
    <w:rsid w:val="134E0C51"/>
    <w:rsid w:val="13D10C5F"/>
    <w:rsid w:val="1453658F"/>
    <w:rsid w:val="1C004E5B"/>
    <w:rsid w:val="27BD7859"/>
    <w:rsid w:val="2A1B77BD"/>
    <w:rsid w:val="2A474F7A"/>
    <w:rsid w:val="2B496028"/>
    <w:rsid w:val="2FA03206"/>
    <w:rsid w:val="310A629D"/>
    <w:rsid w:val="351144E0"/>
    <w:rsid w:val="356D1961"/>
    <w:rsid w:val="3621168A"/>
    <w:rsid w:val="36387311"/>
    <w:rsid w:val="36637C89"/>
    <w:rsid w:val="373B32F6"/>
    <w:rsid w:val="39B22AB0"/>
    <w:rsid w:val="3A4F5EA0"/>
    <w:rsid w:val="3B795073"/>
    <w:rsid w:val="3DEB2B05"/>
    <w:rsid w:val="3FC263B4"/>
    <w:rsid w:val="40CD59D1"/>
    <w:rsid w:val="41C868CC"/>
    <w:rsid w:val="436C1968"/>
    <w:rsid w:val="462C3E28"/>
    <w:rsid w:val="467550DE"/>
    <w:rsid w:val="47173184"/>
    <w:rsid w:val="47314861"/>
    <w:rsid w:val="49C33BD4"/>
    <w:rsid w:val="4B0A0C10"/>
    <w:rsid w:val="4BA61DFF"/>
    <w:rsid w:val="4EB9372E"/>
    <w:rsid w:val="50A7174F"/>
    <w:rsid w:val="512B12E8"/>
    <w:rsid w:val="53191BD8"/>
    <w:rsid w:val="540F64FB"/>
    <w:rsid w:val="56AF1DC4"/>
    <w:rsid w:val="56C91BAB"/>
    <w:rsid w:val="58497B3B"/>
    <w:rsid w:val="5AA63D51"/>
    <w:rsid w:val="5D300244"/>
    <w:rsid w:val="5F405084"/>
    <w:rsid w:val="60EC6976"/>
    <w:rsid w:val="619B5805"/>
    <w:rsid w:val="63484E56"/>
    <w:rsid w:val="667C08B2"/>
    <w:rsid w:val="6AF12538"/>
    <w:rsid w:val="6C5527D6"/>
    <w:rsid w:val="6CA5468C"/>
    <w:rsid w:val="6DAD7D41"/>
    <w:rsid w:val="70FB6A4D"/>
    <w:rsid w:val="734B3B7F"/>
    <w:rsid w:val="738D7790"/>
    <w:rsid w:val="749452C9"/>
    <w:rsid w:val="750A24F5"/>
    <w:rsid w:val="75D108AE"/>
    <w:rsid w:val="7862560B"/>
    <w:rsid w:val="7E7F0085"/>
    <w:rsid w:val="BFB71EE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ascii="Times New Roman" w:hAnsi="Times New Roman" w:eastAsia="宋体" w:cs="Times New Roman"/>
      <w:szCs w:val="24"/>
      <w:lang w:bidi="ar-SA"/>
    </w:rPr>
  </w:style>
  <w:style w:type="paragraph" w:styleId="3">
    <w:name w:val="Body Text Indent"/>
    <w:basedOn w:val="1"/>
    <w:next w:val="4"/>
    <w:autoRedefine/>
    <w:unhideWhenUsed/>
    <w:qFormat/>
    <w:uiPriority w:val="99"/>
    <w:pPr>
      <w:spacing w:after="120"/>
      <w:ind w:left="420" w:leftChars="200"/>
    </w:pPr>
  </w:style>
  <w:style w:type="paragraph" w:styleId="4">
    <w:name w:val="envelope return"/>
    <w:basedOn w:val="1"/>
    <w:autoRedefine/>
    <w:semiHidden/>
    <w:qFormat/>
    <w:uiPriority w:val="0"/>
    <w:pPr>
      <w:snapToGrid w:val="0"/>
      <w:spacing w:line="440" w:lineRule="exact"/>
      <w:ind w:firstLine="200" w:firstLineChars="200"/>
    </w:pPr>
    <w:rPr>
      <w:rFonts w:ascii="Arial" w:hAnsi="Arial" w:cs="Arial"/>
      <w:sz w:val="24"/>
      <w:szCs w:val="24"/>
    </w:rPr>
  </w:style>
  <w:style w:type="paragraph" w:styleId="5">
    <w:name w:val="footer"/>
    <w:basedOn w:val="1"/>
    <w:autoRedefine/>
    <w:unhideWhenUsed/>
    <w:qFormat/>
    <w:uiPriority w:val="0"/>
    <w:pPr>
      <w:tabs>
        <w:tab w:val="center" w:pos="4153"/>
        <w:tab w:val="right" w:pos="8306"/>
      </w:tabs>
      <w:snapToGrid w:val="0"/>
      <w:jc w:val="left"/>
    </w:pPr>
    <w:rPr>
      <w:sz w:val="18"/>
      <w:szCs w:val="18"/>
    </w:rPr>
  </w:style>
  <w:style w:type="paragraph" w:styleId="6">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3"/>
    <w:next w:val="9"/>
    <w:autoRedefine/>
    <w:semiHidden/>
    <w:qFormat/>
    <w:uiPriority w:val="0"/>
    <w:pPr>
      <w:ind w:firstLine="420"/>
    </w:pPr>
  </w:style>
  <w:style w:type="paragraph" w:customStyle="1" w:styleId="9">
    <w:name w:val="正文格式"/>
    <w:autoRedefine/>
    <w:qFormat/>
    <w:uiPriority w:val="0"/>
    <w:pPr>
      <w:widowControl w:val="0"/>
      <w:jc w:val="both"/>
    </w:pPr>
    <w:rPr>
      <w:rFonts w:ascii="宋体" w:hAnsi="宋体" w:eastAsia="宋体" w:cs="Times New Roman"/>
      <w:kern w:val="2"/>
      <w:sz w:val="28"/>
      <w:szCs w:val="24"/>
      <w:lang w:val="en-US" w:eastAsia="zh-CN" w:bidi="ar-SA"/>
    </w:rPr>
  </w:style>
  <w:style w:type="paragraph" w:customStyle="1" w:styleId="12">
    <w:name w:val="正文 New"/>
    <w:autoRedefine/>
    <w:unhideWhenUsed/>
    <w:qFormat/>
    <w:uiPriority w:val="99"/>
    <w:pPr>
      <w:widowControl w:val="0"/>
      <w:spacing w:line="440" w:lineRule="exact"/>
      <w:ind w:left="357" w:hanging="357"/>
      <w:jc w:val="both"/>
    </w:pPr>
    <w:rPr>
      <w:rFonts w:ascii="Calibri" w:hAnsi="Calibri" w:eastAsia="宋体" w:cs="Times New Roman"/>
      <w:kern w:val="2"/>
      <w:sz w:val="21"/>
      <w:szCs w:val="22"/>
      <w:lang w:val="en-US" w:eastAsia="zh-CN" w:bidi="ar-SA"/>
    </w:rPr>
  </w:style>
  <w:style w:type="paragraph" w:customStyle="1" w:styleId="13">
    <w:name w:val="列出段落1"/>
    <w:basedOn w:val="1"/>
    <w:autoRedefine/>
    <w:qFormat/>
    <w:uiPriority w:val="34"/>
    <w:pPr>
      <w:ind w:firstLine="420" w:firstLineChars="200"/>
    </w:pPr>
  </w:style>
  <w:style w:type="paragraph" w:customStyle="1" w:styleId="14">
    <w:name w:val="列出段落2"/>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2280</Words>
  <Characters>2352</Characters>
  <Lines>0</Lines>
  <Paragraphs>0</Paragraphs>
  <TotalTime>0</TotalTime>
  <ScaleCrop>false</ScaleCrop>
  <LinksUpToDate>false</LinksUpToDate>
  <CharactersWithSpaces>2551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2023-03-09T09:44:00Z</dcterms:created>
  <dc:creator>123</dc:creator>
  <cp:lastModifiedBy>雾徒</cp:lastModifiedBy>
  <dcterms:modified xsi:type="dcterms:W3CDTF">2026-07-17T11:40:06Z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F065CE1577D342BEBE9AD12C7AB73DB0_13</vt:lpwstr>
  </property>
  <property fmtid="{D5CDD505-2E9C-101B-9397-08002B2CF9AE}" pid="4" name="KSOTemplateDocerSaveRecord">
    <vt:lpwstr>eyJoZGlkIjoiMTRmNDM1ZTU5NDViYzhmNGQ3ZWRiYzM5MGNlODgzZTYiLCJ1c2VySWQiOiI1MTY5NzEzMzUifQ==</vt:lpwstr>
  </property>
</Properties>
</file>